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80e931d57e7008ce6bbf5ed0d8c855553f00ac"/>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Sof barqaror moliyalashtirish me’yori (NSFR – Net Stable Funding Ratio)</w:t>
      </w:r>
    </w:p>
    <w:p>
      <w:pPr>
        <w:pStyle w:val="FirstParagraph"/>
        <w:spacing w:line="360" w:lineRule="auto" w:before="0" w:after="0"/>
        <w:ind w:firstLine="709"/>
        <w:jc w:val="both"/>
      </w:pPr>
      <w:r>
        <w:rPr>
          <w:rFonts w:ascii="Times New Roman" w:hAnsi="Times New Roman" w:cs="Times New Roman" w:eastAsia="Times New Roman"/>
          <w:sz w:val="28"/>
        </w:rPr>
        <w:t xml:space="preserve">Bazel III doirasida joriy etilgan likvidlik standartlaridan ikkinchisi sof barqaror moliyalashtirish me’yori hisoblanadi. Agar likvidlikni qoplash koeffitsiyenti bankning 30 kunlik keskin stress davrida omon qolish qobiliyatini baholasa, sof barqaror moliyalashtirish me’yori bir yillik gorizontda bank aktivlari va majburiyatlari muddatlari o‘rtasidagi tarkibiy muvozanatni tavsiflaydi. Boshqacha aytganda, birinchi koeffitsiyent qisqa muddatli likvidlik riskiga, ikkinchisi esa tarkibiy likvidlik riskiga qarshi qaratilgan. Bu ikki standart bir-birini to‘ldiradi: bank qisqa muddatda yetarli likvid aktivlarga ega bo‘lsa-da, uzoq muddatli kreditlarini qisqa muddatli ulgurji resurslar hisobidan moliyalashtirishda davom etsa, uning likvidlik muammosi faqat kechiktiriladi, xolos.</w:t>
      </w:r>
    </w:p>
    <w:p>
      <w:pPr>
        <w:pStyle w:val="BodyText"/>
        <w:spacing w:line="360" w:lineRule="auto" w:before="0" w:after="0"/>
        <w:ind w:firstLine="709"/>
        <w:jc w:val="both"/>
      </w:pPr>
      <w:r>
        <w:rPr>
          <w:rFonts w:ascii="Times New Roman" w:hAnsi="Times New Roman" w:cs="Times New Roman" w:eastAsia="Times New Roman"/>
          <w:sz w:val="28"/>
        </w:rPr>
        <w:t xml:space="preserve">Ushbu me’yorning paydo bo‘lishi 2007–2009-yillardagi global moliyaviy inqiroz saboqlari bilan bevosita bog‘liq. Inqirozgacha bo‘lgan davrda ko‘plab banklar arzon qisqa muddatli ulgurji moliyalashtirishga tayanib, uzoq muddatli aktivlarini jadal kengaytirgan edi. Bozorda ishonch yo‘qolgach esa bu resurslar bir zumda «qurib qoldi» va kapitali yetarli bo‘lgan banklar ham likvidlik tanqisligiga duch keldi. Shu sababli Bazel qo‘mitasi 2010-yilda likvidlik riskini o‘lchash bo‘yicha xalqaro asosni e’lon qilib, unda ikkala koeffitsiyentni belgiladi</w:t>
      </w:r>
      <w:r>
        <w:rPr>
          <w:rStyle w:val="FootnoteReference"/>
        </w:rPr>
        <w:footnoteReference w:id="20"/>
      </w:r>
      <w:r>
        <w:rPr>
          <w:rFonts w:ascii="Times New Roman" w:hAnsi="Times New Roman" w:cs="Times New Roman" w:eastAsia="Times New Roman"/>
          <w:sz w:val="28"/>
        </w:rPr>
        <w:t xml:space="preserve">, sof barqaror moliyalashtirish me’yorining yakuniy tahririni esa 2014-yil oktabrida qabul qildi</w:t>
      </w:r>
      <w:r>
        <w:rPr>
          <w:rStyle w:val="FootnoteReference"/>
        </w:rPr>
        <w:footnoteReference w:id="2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Me’yor bankning mavjud barqaror moliyalashtirishi hajmining talab qilinadigan barqaror moliyalashtirish hajmiga nisbati sifatida hisoblanadi va kamida 100 foiz bo‘lishi lozim: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760000" cy="900000"/>
                <wp:effectExtent l="0" t="0" r="0" b="0"/>
                <wp:docPr id="1001" name="formula"/>
                <wp:cNvGraphicFramePr/>
                <a:graphic>
                  <a:graphicData uri="http://schemas.microsoft.com/office/word/2010/wordprocessingGroup">
                    <wpg:wgp>
                      <wpg:cNvGrpSpPr/>
                      <wpg:grpSpPr>
                        <a:xfrm>
                          <a:off x="0" y="0"/>
                          <a:ext cx="5760000" cy="900000"/>
                          <a:chOff x="0" y="0"/>
                          <a:chExt cx="5760000" cy="900000"/>
                        </a:xfrm>
                      </wpg:grpSpPr>
                      <wps:wsp>
                        <wps:cNvPr id="2" name="Shape 2"/>
                        <wps:cNvSpPr/>
                        <wps:spPr>
                          <a:xfrm>
                            <a:off x="216000" y="270000"/>
                            <a:ext cx="936000" cy="360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8"/>
                                  <w:szCs w:val="28"/>
                                </w:rPr>
                                <w:t xml:space="preserve">NSFR =</w:t>
                              </w:r>
                            </w:p>
                          </w:txbxContent>
                        </wps:txbx>
                        <wps:bodyPr rot="0" vert="horz" wrap="square" lIns="36000" tIns="18000" rIns="36000" bIns="18000" anchor="ctr" anchorCtr="0">
                          <a:noAutofit/>
                        </wps:bodyPr>
                      </wps:wsp>
                      <wps:wsp>
                        <wps:cNvPr id="3" name="Shape 3"/>
                        <wps:cNvSpPr/>
                        <wps:spPr>
                          <a:xfrm>
                            <a:off x="1224000" y="36000"/>
                            <a:ext cx="3096000" cy="360000"/>
                          </a:xfrm>
                          <a:prstGeom prst="roundRect">
                            <a:avLst>
                              <a:gd name="adj" fmla="val 10000"/>
                            </a:avLst>
                          </a:prstGeom>
                          <a:solidFill>
                            <a:srgbClr val="E2EFDA"/>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Mavjud barqaror moliyalashtirish (ASF)</w:t>
                              </w:r>
                            </w:p>
                          </w:txbxContent>
                        </wps:txbx>
                        <wps:bodyPr rot="0" vert="horz" wrap="square" lIns="36000" tIns="18000" rIns="36000" bIns="18000" anchor="ctr" anchorCtr="0">
                          <a:noAutofit/>
                        </wps:bodyPr>
                      </wps:wsp>
                      <wps:wsp>
                        <wps:cNvPr id="4" name="Connector 4"/>
                        <wps:cNvCnPr/>
                        <wps:spPr>
                          <a:xfrm>
                            <a:off x="1224000" y="450000"/>
                            <a:ext cx="3096000" cy="0"/>
                          </a:xfrm>
                          <a:prstGeom prst="straightConnector1">
                            <a:avLst/>
                          </a:prstGeom>
                          <a:ln w="19050">
                            <a:solidFill>
                              <a:srgbClr val="000000"/>
                            </a:solidFill>
                          </a:ln>
                        </wps:spPr>
                        <wps:bodyPr/>
                      </wps:wsp>
                      <wps:wsp>
                        <wps:cNvPr id="5" name="Shape 5"/>
                        <wps:cNvSpPr/>
                        <wps:spPr>
                          <a:xfrm>
                            <a:off x="1224000" y="504000"/>
                            <a:ext cx="3096000" cy="360000"/>
                          </a:xfrm>
                          <a:prstGeom prst="roundRect">
                            <a:avLst>
                              <a:gd name="adj" fmla="val 10000"/>
                            </a:avLst>
                          </a:prstGeom>
                          <a:solidFill>
                            <a:srgbClr val="FBE5D6"/>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Talab qilinadigan barqaror moliyalashtirish (RSF)</w:t>
                              </w:r>
                            </w:p>
                          </w:txbxContent>
                        </wps:txbx>
                        <wps:bodyPr rot="0" vert="horz" wrap="square" lIns="36000" tIns="18000" rIns="36000" bIns="18000" anchor="ctr" anchorCtr="0">
                          <a:noAutofit/>
                        </wps:bodyPr>
                      </wps:wsp>
                      <wps:wsp>
                        <wps:cNvPr id="6" name="Shape 6"/>
                        <wps:cNvSpPr/>
                        <wps:spPr>
                          <a:xfrm>
                            <a:off x="4428000" y="270000"/>
                            <a:ext cx="1080000" cy="360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C00000"/>
                                  <w:sz w:val="28"/>
                                  <w:szCs w:val="28"/>
                                </w:rPr>
                                <w:t xml:space="preserve">≥ 100%</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360" w:lineRule="auto" w:before="0" w:after="0"/>
        <w:ind w:firstLine="709"/>
        <w:jc w:val="both"/>
      </w:pPr>
      <w:r>
        <w:rPr>
          <w:rFonts w:ascii="Times New Roman" w:hAnsi="Times New Roman" w:cs="Times New Roman" w:eastAsia="Times New Roman"/>
          <w:sz w:val="28"/>
        </w:rPr>
        <w:t xml:space="preserve">Mavjud barqaror moliyalashtirish deganda bir yil davomida bankda saqlanib qolishi kutilayotgan kapital va majburiyatlar tushuniladi. Ularning har biri barqarorlik darajasiga qarab tegishli koeffitsiyentga ko‘paytiriladi. Talab qilinadigan barqaror moliyalashtirish esa bank aktivlari va balansdan tashqari majburiyatlarining likvidlik xususiyatlari hamda qolgan muddatiga qarab aniqlanadi: aktiv qanchalik nolikvid va uzoq muddatli bo‘lsa, unga shunchalik ko‘p barqaror resurs talab qilinadi. Koeffitsiyentlarning asosiy qiymatlari 1-jadvalda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Sof barqaror moliyalashtirish me’yorini hisoblashdagi asosiy koeffitsiyentlar</w:t>
      </w:r>
      <w:r>
        <w:rPr>
          <w:rStyle w:val="FootnoteReference"/>
        </w:rPr>
        <w:footnoteReference w:id="22"/>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Mavjud barqaror moliyalashtirish (ASF)</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Koeffitsiyent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Talab qilinadigan barqaror moliyalashtirish (RSF)</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Koeffitsiyent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Regulyativ kapital; muddati 1 yil va undan ortiq majburiyatlar</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Naqd pul, markaziy bankdagi zaxiralar</w:t>
            </w:r>
          </w:p>
        </w:tc>
        <w:tc>
          <w:tcPr/>
          <w:p>
            <w:pPr>
              <w:pStyle w:val="Compact"/>
              <w:spacing w:line="240" w:lineRule="auto"/>
              <w:ind w:firstLine="0"/>
              <w:jc w:val="left"/>
            </w:pPr>
            <w:r>
              <w:rPr>
                <w:rFonts w:ascii="Times New Roman" w:hAnsi="Times New Roman" w:cs="Times New Roman" w:eastAsia="Times New Roman"/>
                <w:sz w:val="22"/>
              </w:rPr>
              <w:t xml:space="preserve">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Jismoniy shaxslar va kichik biznesning barqaror depozitlari</w:t>
            </w:r>
          </w:p>
        </w:tc>
        <w:tc>
          <w:tcPr/>
          <w:p>
            <w:pPr>
              <w:pStyle w:val="Compact"/>
              <w:spacing w:line="240" w:lineRule="auto"/>
              <w:ind w:firstLine="0"/>
              <w:jc w:val="left"/>
            </w:pPr>
            <w:r>
              <w:rPr>
                <w:rFonts w:ascii="Times New Roman" w:hAnsi="Times New Roman" w:cs="Times New Roman" w:eastAsia="Times New Roman"/>
                <w:sz w:val="22"/>
              </w:rPr>
              <w:t xml:space="preserve">95%</w:t>
            </w:r>
          </w:p>
        </w:tc>
        <w:tc>
          <w:tcPr/>
          <w:p>
            <w:pPr>
              <w:pStyle w:val="Compact"/>
              <w:spacing w:line="240" w:lineRule="auto"/>
              <w:ind w:firstLine="0"/>
              <w:jc w:val="left"/>
            </w:pPr>
            <w:r>
              <w:rPr>
                <w:rFonts w:ascii="Times New Roman" w:hAnsi="Times New Roman" w:cs="Times New Roman" w:eastAsia="Times New Roman"/>
                <w:sz w:val="22"/>
              </w:rPr>
              <w:t xml:space="preserve">1-darajali yuqori likvid aktivlar</w:t>
            </w:r>
          </w:p>
        </w:tc>
        <w:tc>
          <w:tcPr/>
          <w:p>
            <w:pPr>
              <w:pStyle w:val="Compact"/>
              <w:spacing w:line="240" w:lineRule="auto"/>
              <w:ind w:firstLine="0"/>
              <w:jc w:val="left"/>
            </w:pPr>
            <w:r>
              <w:rPr>
                <w:rFonts w:ascii="Times New Roman" w:hAnsi="Times New Roman" w:cs="Times New Roman" w:eastAsia="Times New Roman"/>
                <w:sz w:val="22"/>
              </w:rPr>
              <w:t xml:space="preserve">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Jismoniy shaxslar va kichik biznesning kamroq barqaror depozitlari</w:t>
            </w:r>
          </w:p>
        </w:tc>
        <w:tc>
          <w:tcPr/>
          <w:p>
            <w:pPr>
              <w:pStyle w:val="Compact"/>
              <w:spacing w:line="240" w:lineRule="auto"/>
              <w:ind w:firstLine="0"/>
              <w:jc w:val="left"/>
            </w:pPr>
            <w:r>
              <w:rPr>
                <w:rFonts w:ascii="Times New Roman" w:hAnsi="Times New Roman" w:cs="Times New Roman" w:eastAsia="Times New Roman"/>
                <w:sz w:val="22"/>
              </w:rPr>
              <w:t xml:space="preserve">90%</w:t>
            </w:r>
          </w:p>
        </w:tc>
        <w:tc>
          <w:tcPr/>
          <w:p>
            <w:pPr>
              <w:pStyle w:val="Compact"/>
              <w:spacing w:line="240" w:lineRule="auto"/>
              <w:ind w:firstLine="0"/>
              <w:jc w:val="left"/>
            </w:pPr>
            <w:r>
              <w:rPr>
                <w:rFonts w:ascii="Times New Roman" w:hAnsi="Times New Roman" w:cs="Times New Roman" w:eastAsia="Times New Roman"/>
                <w:sz w:val="22"/>
              </w:rPr>
              <w:t xml:space="preserve">2A darajali likvid aktivlar</w:t>
            </w:r>
          </w:p>
        </w:tc>
        <w:tc>
          <w:tcPr/>
          <w:p>
            <w:pPr>
              <w:pStyle w:val="Compact"/>
              <w:spacing w:line="240" w:lineRule="auto"/>
              <w:ind w:firstLine="0"/>
              <w:jc w:val="left"/>
            </w:pPr>
            <w:r>
              <w:rPr>
                <w:rFonts w:ascii="Times New Roman" w:hAnsi="Times New Roman" w:cs="Times New Roman" w:eastAsia="Times New Roman"/>
                <w:sz w:val="22"/>
              </w:rPr>
              <w:t xml:space="preserve">15%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Nomoliyaviy korxonalardan muddati 1 yilgacha bo‘lgan resurslar, operatsion depozitlar</w:t>
            </w:r>
          </w:p>
        </w:tc>
        <w:tc>
          <w:tcPr/>
          <w:p>
            <w:pPr>
              <w:pStyle w:val="Compact"/>
              <w:spacing w:line="240" w:lineRule="auto"/>
              <w:ind w:firstLine="0"/>
              <w:jc w:val="left"/>
            </w:pPr>
            <w:r>
              <w:rPr>
                <w:rFonts w:ascii="Times New Roman" w:hAnsi="Times New Roman" w:cs="Times New Roman" w:eastAsia="Times New Roman"/>
                <w:sz w:val="22"/>
              </w:rPr>
              <w:t xml:space="preserve">50%</w:t>
            </w:r>
          </w:p>
        </w:tc>
        <w:tc>
          <w:tcPr/>
          <w:p>
            <w:pPr>
              <w:pStyle w:val="Compact"/>
              <w:spacing w:line="240" w:lineRule="auto"/>
              <w:ind w:firstLine="0"/>
              <w:jc w:val="left"/>
            </w:pPr>
            <w:r>
              <w:rPr>
                <w:rFonts w:ascii="Times New Roman" w:hAnsi="Times New Roman" w:cs="Times New Roman" w:eastAsia="Times New Roman"/>
                <w:sz w:val="22"/>
              </w:rPr>
              <w:t xml:space="preserve">2B darajali likvid aktivlar; muddati 1 yilgacha bo‘lgan korxona va jismoniy shaxslarga kreditlar</w:t>
            </w:r>
          </w:p>
        </w:tc>
        <w:tc>
          <w:tcPr/>
          <w:p>
            <w:pPr>
              <w:pStyle w:val="Compact"/>
              <w:spacing w:line="240" w:lineRule="auto"/>
              <w:ind w:firstLine="0"/>
              <w:jc w:val="left"/>
            </w:pPr>
            <w:r>
              <w:rPr>
                <w:rFonts w:ascii="Times New Roman" w:hAnsi="Times New Roman" w:cs="Times New Roman" w:eastAsia="Times New Roman"/>
                <w:sz w:val="22"/>
              </w:rPr>
              <w:t xml:space="preserve">50%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Boshqa majburiyatlar (moliya institutlaridan 6 oygacha resurslar va h.k.)</w:t>
            </w:r>
          </w:p>
        </w:tc>
        <w:tc>
          <w:tcPr/>
          <w:p>
            <w:pPr>
              <w:pStyle w:val="Compact"/>
              <w:spacing w:line="240" w:lineRule="auto"/>
              <w:ind w:firstLine="0"/>
              <w:jc w:val="left"/>
            </w:pPr>
            <w:r>
              <w:rPr>
                <w:rFonts w:ascii="Times New Roman" w:hAnsi="Times New Roman" w:cs="Times New Roman" w:eastAsia="Times New Roman"/>
                <w:sz w:val="22"/>
              </w:rPr>
              <w:t xml:space="preserve">0%</w:t>
            </w:r>
          </w:p>
        </w:tc>
        <w:tc>
          <w:tcPr/>
          <w:p>
            <w:pPr>
              <w:pStyle w:val="Compact"/>
              <w:spacing w:line="240" w:lineRule="auto"/>
              <w:ind w:firstLine="0"/>
              <w:jc w:val="left"/>
            </w:pPr>
            <w:r>
              <w:rPr>
                <w:rFonts w:ascii="Times New Roman" w:hAnsi="Times New Roman" w:cs="Times New Roman" w:eastAsia="Times New Roman"/>
                <w:sz w:val="22"/>
              </w:rPr>
              <w:t xml:space="preserve">Risk vazni 35% gacha bo‘lgan, muddati 1 yildan ortiq ipoteka kreditlari</w:t>
            </w:r>
          </w:p>
        </w:tc>
        <w:tc>
          <w:tcPr/>
          <w:p>
            <w:pPr>
              <w:pStyle w:val="Compact"/>
              <w:spacing w:line="240" w:lineRule="auto"/>
              <w:ind w:firstLine="0"/>
              <w:jc w:val="left"/>
            </w:pPr>
            <w:r>
              <w:rPr>
                <w:rFonts w:ascii="Times New Roman" w:hAnsi="Times New Roman" w:cs="Times New Roman" w:eastAsia="Times New Roman"/>
                <w:sz w:val="22"/>
              </w:rPr>
              <w:t xml:space="preserve">65%</w:t>
            </w:r>
          </w:p>
        </w:tc>
      </w:tr>
      <w:tr>
        <w:trPr>
          <w:cantSplit/>
        </w:trPr>
        <w:tc>
          <w:tcPr/>
          <w:p>
            <w:pPr>
              <w:pStyle w:val="Compact"/>
              <w:spacing w:line="240" w:lineRule="auto"/>
              <w:ind w:firstLine="0"/>
              <w:jc w:val="left"/>
            </w:pPr>
          </w:p>
        </w:tc>
        <w:tc>
          <w:tcPr/>
          <w:p>
            <w:pPr>
              <w:pStyle w:val="Compact"/>
              <w:spacing w:line="240" w:lineRule="auto"/>
              <w:ind w:firstLine="0"/>
              <w:jc w:val="left"/>
            </w:pPr>
          </w:p>
        </w:tc>
        <w:tc>
          <w:tcPr/>
          <w:p>
            <w:pPr>
              <w:pStyle w:val="Compact"/>
              <w:spacing w:line="240" w:lineRule="auto"/>
              <w:ind w:firstLine="0"/>
              <w:jc w:val="left"/>
            </w:pPr>
            <w:r>
              <w:rPr>
                <w:rFonts w:ascii="Times New Roman" w:hAnsi="Times New Roman" w:cs="Times New Roman" w:eastAsia="Times New Roman"/>
                <w:sz w:val="22"/>
              </w:rPr>
              <w:t xml:space="preserve">Muddati 1 yildan ortiq boshqa ishlaydigan kreditlar</w:t>
            </w:r>
          </w:p>
        </w:tc>
        <w:tc>
          <w:tcPr/>
          <w:p>
            <w:pPr>
              <w:pStyle w:val="Compact"/>
              <w:spacing w:line="240" w:lineRule="auto"/>
              <w:ind w:firstLine="0"/>
              <w:jc w:val="left"/>
            </w:pPr>
            <w:r>
              <w:rPr>
                <w:rFonts w:ascii="Times New Roman" w:hAnsi="Times New Roman" w:cs="Times New Roman" w:eastAsia="Times New Roman"/>
                <w:sz w:val="22"/>
              </w:rPr>
              <w:t xml:space="preserve">85%</w:t>
            </w:r>
          </w:p>
        </w:tc>
      </w:tr>
      <w:tr>
        <w:trPr>
          <w:cantSplit/>
        </w:trPr>
        <w:tc>
          <w:tcPr/>
          <w:p>
            <w:pPr>
              <w:pStyle w:val="Compact"/>
              <w:spacing w:line="240" w:lineRule="auto"/>
              <w:ind w:firstLine="0"/>
              <w:jc w:val="left"/>
            </w:pPr>
          </w:p>
        </w:tc>
        <w:tc>
          <w:tcPr/>
          <w:p>
            <w:pPr>
              <w:pStyle w:val="Compact"/>
              <w:spacing w:line="240" w:lineRule="auto"/>
              <w:ind w:firstLine="0"/>
              <w:jc w:val="left"/>
            </w:pPr>
          </w:p>
        </w:tc>
        <w:tc>
          <w:tcPr/>
          <w:p>
            <w:pPr>
              <w:pStyle w:val="Compact"/>
              <w:spacing w:line="240" w:lineRule="auto"/>
              <w:ind w:firstLine="0"/>
              <w:jc w:val="left"/>
            </w:pPr>
            <w:r>
              <w:rPr>
                <w:rFonts w:ascii="Times New Roman" w:hAnsi="Times New Roman" w:cs="Times New Roman" w:eastAsia="Times New Roman"/>
                <w:sz w:val="22"/>
              </w:rPr>
              <w:t xml:space="preserve">Muammoli kreditlar, asosiy vositalar, boshqa nolikvid aktivlar</w:t>
            </w:r>
          </w:p>
        </w:tc>
        <w:tc>
          <w:tcPr/>
          <w:p>
            <w:pPr>
              <w:pStyle w:val="Compact"/>
              <w:spacing w:line="240" w:lineRule="auto"/>
              <w:ind w:firstLine="0"/>
              <w:jc w:val="left"/>
            </w:pPr>
            <w:r>
              <w:rPr>
                <w:rFonts w:ascii="Times New Roman" w:hAnsi="Times New Roman" w:cs="Times New Roman" w:eastAsia="Times New Roman"/>
                <w:sz w:val="22"/>
              </w:rPr>
              <w:t xml:space="preserve">100%</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me’yor bankni o‘z faoliyatini jismoniy shaxslarning barqaror depozitlari va uzoq muddatli resurslar hisobidan moliyalashtirishga rag‘batlantiradi, moliya institutlaridan jalb qilingan qisqa muddatli resurslarni esa deyarli barqaror deb hisoblamaydi. Aktivlar tomonida esa uzoq muddatli va nolikvid aktivlar, ayniqsa, muammoli kreditlar to‘liq barqaror resurs bilan qoplanishi talab qilinadi. Shu tariqa me’yor muddatlar transformatsiyasi hajmini cheklab, bankning tarkibiy likvidlik riskini kamaytiradi. Uning tuzilmasi 1-rasmda umumlashtirildi.</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520000"/>
                <wp:effectExtent l="0" t="0" r="0" b="0"/>
                <wp:docPr id="1002" name="1-rasm"/>
                <wp:cNvGraphicFramePr/>
                <a:graphic>
                  <a:graphicData uri="http://schemas.microsoft.com/office/word/2010/wordprocessingGroup">
                    <wpg:wgp>
                      <wpg:cNvGrpSpPr/>
                      <wpg:grpSpPr>
                        <a:xfrm>
                          <a:off x="0" y="0"/>
                          <a:ext cx="5904000" cy="2520000"/>
                          <a:chOff x="0" y="0"/>
                          <a:chExt cx="5904000" cy="2520000"/>
                        </a:xfrm>
                      </wpg:grpSpPr>
                      <wps:wsp>
                        <wps:cNvPr id="7" name="Shape 7"/>
                        <wps:cNvSpPr/>
                        <wps:spPr>
                          <a:xfrm>
                            <a:off x="36000" y="36000"/>
                            <a:ext cx="2808000" cy="324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Mavjud barqaror moliyalashtirish</w:t>
                              </w:r>
                            </w:p>
                            <w:p>
                              <w:pPr>
                                <w:spacing w:before="0" w:after="0" w:line="228" w:lineRule="auto"/>
                                <w:jc w:val="center"/>
                                <w:ind w:firstLine="0"/>
                              </w:pPr>
                              <w:r>
                                <w:rPr>
                                  <w:rFonts w:ascii="Times New Roman" w:hAnsi="Times New Roman" w:cs="Times New Roman"/>
                                  <w:b/>
                                  <w:color w:val="FFFFFF"/>
                                  <w:sz w:val="20"/>
                                  <w:szCs w:val="20"/>
                                </w:rPr>
                                <w:t xml:space="preserve">(passivlar × ASF koeffitsiyenti)</w:t>
                              </w:r>
                            </w:p>
                          </w:txbxContent>
                        </wps:txbx>
                        <wps:bodyPr rot="0" vert="horz" wrap="square" lIns="36000" tIns="18000" rIns="36000" bIns="18000" anchor="ctr" anchorCtr="0">
                          <a:noAutofit/>
                        </wps:bodyPr>
                      </wps:wsp>
                      <wps:wsp>
                        <wps:cNvPr id="8" name="Shape 8"/>
                        <wps:cNvSpPr/>
                        <wps:spPr>
                          <a:xfrm>
                            <a:off x="3060000" y="36000"/>
                            <a:ext cx="2808000" cy="324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Talab qilinadigan barqaror moliyalashtirish</w:t>
                              </w:r>
                            </w:p>
                            <w:p>
                              <w:pPr>
                                <w:spacing w:before="0" w:after="0" w:line="228" w:lineRule="auto"/>
                                <w:jc w:val="center"/>
                                <w:ind w:firstLine="0"/>
                              </w:pPr>
                              <w:r>
                                <w:rPr>
                                  <w:rFonts w:ascii="Times New Roman" w:hAnsi="Times New Roman" w:cs="Times New Roman"/>
                                  <w:b/>
                                  <w:color w:val="FFFFFF"/>
                                  <w:sz w:val="20"/>
                                  <w:szCs w:val="20"/>
                                </w:rPr>
                                <w:t xml:space="preserve">(aktivlar × RSF koeffitsiyenti)</w:t>
                              </w:r>
                            </w:p>
                          </w:txbxContent>
                        </wps:txbx>
                        <wps:bodyPr rot="0" vert="horz" wrap="square" lIns="36000" tIns="18000" rIns="36000" bIns="18000" anchor="ctr" anchorCtr="0">
                          <a:noAutofit/>
                        </wps:bodyPr>
                      </wps:wsp>
                      <wps:wsp>
                        <wps:cNvPr id="9" name="Shape 9"/>
                        <wps:cNvSpPr/>
                        <wps:spPr>
                          <a:xfrm>
                            <a:off x="36000" y="396000"/>
                            <a:ext cx="2808000" cy="1188000"/>
                          </a:xfrm>
                          <a:prstGeom prst="roundRect">
                            <a:avLst>
                              <a:gd name="adj" fmla="val 10000"/>
                            </a:avLst>
                          </a:prstGeom>
                          <a:solidFill>
                            <a:srgbClr val="F2F2F2"/>
                          </a:solidFill>
                          <a:ln w="12700">
                            <a:solidFill>
                              <a:srgbClr val="70AD47"/>
                            </a:solidFill>
                          </a:ln>
                        </wps:spPr>
                        <wps:txbx>
                          <w:txbxContent>
                            <w:p>
                              <w:pPr>
                                <w:spacing w:before="0" w:after="0" w:line="228" w:lineRule="auto"/>
                                <w:jc w:val="left"/>
                                <w:ind w:firstLine="0"/>
                              </w:pPr>
                              <w:r>
                                <w:rPr>
                                  <w:rFonts w:ascii="Times New Roman" w:hAnsi="Times New Roman" w:cs="Times New Roman"/>
                                  <w:color w:val="000000"/>
                                  <w:sz w:val="18"/>
                                  <w:szCs w:val="18"/>
                                </w:rPr>
                                <w:t xml:space="preserve">Kapital va 1 yildan ortiq resurslar – 100%</w:t>
                              </w:r>
                            </w:p>
                            <w:p>
                              <w:pPr>
                                <w:spacing w:before="0" w:after="0" w:line="228" w:lineRule="auto"/>
                                <w:jc w:val="left"/>
                                <w:ind w:firstLine="0"/>
                              </w:pPr>
                              <w:r>
                                <w:rPr>
                                  <w:rFonts w:ascii="Times New Roman" w:hAnsi="Times New Roman" w:cs="Times New Roman"/>
                                  <w:color w:val="000000"/>
                                  <w:sz w:val="18"/>
                                  <w:szCs w:val="18"/>
                                </w:rPr>
                                <w:t xml:space="preserve">Barqaror chakana depozitlar – 95%</w:t>
                              </w:r>
                            </w:p>
                            <w:p>
                              <w:pPr>
                                <w:spacing w:before="0" w:after="0" w:line="228" w:lineRule="auto"/>
                                <w:jc w:val="left"/>
                                <w:ind w:firstLine="0"/>
                              </w:pPr>
                              <w:r>
                                <w:rPr>
                                  <w:rFonts w:ascii="Times New Roman" w:hAnsi="Times New Roman" w:cs="Times New Roman"/>
                                  <w:color w:val="000000"/>
                                  <w:sz w:val="18"/>
                                  <w:szCs w:val="18"/>
                                </w:rPr>
                                <w:t xml:space="preserve">Kamroq barqaror chakana depozitlar – 90%</w:t>
                              </w:r>
                            </w:p>
                            <w:p>
                              <w:pPr>
                                <w:spacing w:before="0" w:after="0" w:line="228" w:lineRule="auto"/>
                                <w:jc w:val="left"/>
                                <w:ind w:firstLine="0"/>
                              </w:pPr>
                              <w:r>
                                <w:rPr>
                                  <w:rFonts w:ascii="Times New Roman" w:hAnsi="Times New Roman" w:cs="Times New Roman"/>
                                  <w:color w:val="000000"/>
                                  <w:sz w:val="18"/>
                                  <w:szCs w:val="18"/>
                                </w:rPr>
                                <w:t xml:space="preserve">Korxonalarning 1 yilgacha resurslari – 50%</w:t>
                              </w:r>
                            </w:p>
                            <w:p>
                              <w:pPr>
                                <w:spacing w:before="0" w:after="0" w:line="228" w:lineRule="auto"/>
                                <w:jc w:val="left"/>
                                <w:ind w:firstLine="0"/>
                              </w:pPr>
                              <w:r>
                                <w:rPr>
                                  <w:rFonts w:ascii="Times New Roman" w:hAnsi="Times New Roman" w:cs="Times New Roman"/>
                                  <w:color w:val="000000"/>
                                  <w:sz w:val="18"/>
                                  <w:szCs w:val="18"/>
                                </w:rPr>
                                <w:t xml:space="preserve">Moliya institutlarining qisqa</w:t>
                              </w:r>
                            </w:p>
                            <w:p>
                              <w:pPr>
                                <w:spacing w:before="0" w:after="0" w:line="228" w:lineRule="auto"/>
                                <w:jc w:val="left"/>
                                <w:ind w:firstLine="0"/>
                              </w:pPr>
                              <w:r>
                                <w:rPr>
                                  <w:rFonts w:ascii="Times New Roman" w:hAnsi="Times New Roman" w:cs="Times New Roman"/>
                                  <w:color w:val="000000"/>
                                  <w:sz w:val="18"/>
                                  <w:szCs w:val="18"/>
                                </w:rPr>
                                <w:t xml:space="preserve">muddatli resurslari – 0%</w:t>
                              </w:r>
                            </w:p>
                          </w:txbxContent>
                        </wps:txbx>
                        <wps:bodyPr rot="0" vert="horz" wrap="square" lIns="36000" tIns="18000" rIns="36000" bIns="18000" anchor="ctr" anchorCtr="0">
                          <a:noAutofit/>
                        </wps:bodyPr>
                      </wps:wsp>
                      <wps:wsp>
                        <wps:cNvPr id="10" name="Shape 10"/>
                        <wps:cNvSpPr/>
                        <wps:spPr>
                          <a:xfrm>
                            <a:off x="3060000" y="396000"/>
                            <a:ext cx="2808000" cy="1188000"/>
                          </a:xfrm>
                          <a:prstGeom prst="roundRect">
                            <a:avLst>
                              <a:gd name="adj" fmla="val 10000"/>
                            </a:avLst>
                          </a:prstGeom>
                          <a:solidFill>
                            <a:srgbClr val="F2F2F2"/>
                          </a:solidFill>
                          <a:ln w="12700">
                            <a:solidFill>
                              <a:srgbClr val="EB6834"/>
                            </a:solidFill>
                          </a:ln>
                        </wps:spPr>
                        <wps:txbx>
                          <w:txbxContent>
                            <w:p>
                              <w:pPr>
                                <w:spacing w:before="0" w:after="0" w:line="228" w:lineRule="auto"/>
                                <w:jc w:val="left"/>
                                <w:ind w:firstLine="0"/>
                              </w:pPr>
                              <w:r>
                                <w:rPr>
                                  <w:rFonts w:ascii="Times New Roman" w:hAnsi="Times New Roman" w:cs="Times New Roman"/>
                                  <w:color w:val="000000"/>
                                  <w:sz w:val="18"/>
                                  <w:szCs w:val="18"/>
                                </w:rPr>
                                <w:t xml:space="preserve">Naqd pul, markaziy bankdagi zaxiralar – 0%</w:t>
                              </w:r>
                            </w:p>
                            <w:p>
                              <w:pPr>
                                <w:spacing w:before="0" w:after="0" w:line="228" w:lineRule="auto"/>
                                <w:jc w:val="left"/>
                                <w:ind w:firstLine="0"/>
                              </w:pPr>
                              <w:r>
                                <w:rPr>
                                  <w:rFonts w:ascii="Times New Roman" w:hAnsi="Times New Roman" w:cs="Times New Roman"/>
                                  <w:color w:val="000000"/>
                                  <w:sz w:val="18"/>
                                  <w:szCs w:val="18"/>
                                </w:rPr>
                                <w:t xml:space="preserve">1-darajali likvid aktivlar – 5%</w:t>
                              </w:r>
                            </w:p>
                            <w:p>
                              <w:pPr>
                                <w:spacing w:before="0" w:after="0" w:line="228" w:lineRule="auto"/>
                                <w:jc w:val="left"/>
                                <w:ind w:firstLine="0"/>
                              </w:pPr>
                              <w:r>
                                <w:rPr>
                                  <w:rFonts w:ascii="Times New Roman" w:hAnsi="Times New Roman" w:cs="Times New Roman"/>
                                  <w:color w:val="000000"/>
                                  <w:sz w:val="18"/>
                                  <w:szCs w:val="18"/>
                                </w:rPr>
                                <w:t xml:space="preserve">1 yilgacha kreditlar – 50%</w:t>
                              </w:r>
                            </w:p>
                            <w:p>
                              <w:pPr>
                                <w:spacing w:before="0" w:after="0" w:line="228" w:lineRule="auto"/>
                                <w:jc w:val="left"/>
                                <w:ind w:firstLine="0"/>
                              </w:pPr>
                              <w:r>
                                <w:rPr>
                                  <w:rFonts w:ascii="Times New Roman" w:hAnsi="Times New Roman" w:cs="Times New Roman"/>
                                  <w:color w:val="000000"/>
                                  <w:sz w:val="18"/>
                                  <w:szCs w:val="18"/>
                                </w:rPr>
                                <w:t xml:space="preserve">Ipoteka (1 yildan ortiq) – 65%</w:t>
                              </w:r>
                            </w:p>
                            <w:p>
                              <w:pPr>
                                <w:spacing w:before="0" w:after="0" w:line="228" w:lineRule="auto"/>
                                <w:jc w:val="left"/>
                                <w:ind w:firstLine="0"/>
                              </w:pPr>
                              <w:r>
                                <w:rPr>
                                  <w:rFonts w:ascii="Times New Roman" w:hAnsi="Times New Roman" w:cs="Times New Roman"/>
                                  <w:color w:val="000000"/>
                                  <w:sz w:val="18"/>
                                  <w:szCs w:val="18"/>
                                </w:rPr>
                                <w:t xml:space="preserve">Boshqa uzoq muddatli kreditlar – 85%</w:t>
                              </w:r>
                            </w:p>
                            <w:p>
                              <w:pPr>
                                <w:spacing w:before="0" w:after="0" w:line="228" w:lineRule="auto"/>
                                <w:jc w:val="left"/>
                                <w:ind w:firstLine="0"/>
                              </w:pPr>
                              <w:r>
                                <w:rPr>
                                  <w:rFonts w:ascii="Times New Roman" w:hAnsi="Times New Roman" w:cs="Times New Roman"/>
                                  <w:color w:val="000000"/>
                                  <w:sz w:val="18"/>
                                  <w:szCs w:val="18"/>
                                </w:rPr>
                                <w:t xml:space="preserve">Muammoli kreditlar, asosiy vositalar – 100%</w:t>
                              </w:r>
                            </w:p>
                          </w:txbxContent>
                        </wps:txbx>
                        <wps:bodyPr rot="0" vert="horz" wrap="square" lIns="36000" tIns="18000" rIns="36000" bIns="18000" anchor="ctr" anchorCtr="0">
                          <a:noAutofit/>
                        </wps:bodyPr>
                      </wps:wsp>
                      <wps:wsp>
                        <wps:cNvPr id="11" name="Connector 11"/>
                        <wps:cNvCnPr/>
                        <wps:spPr>
                          <a:xfrm>
                            <a:off x="1440000" y="1584000"/>
                            <a:ext cx="1080000" cy="216000"/>
                          </a:xfrm>
                          <a:prstGeom prst="straightConnector1">
                            <a:avLst/>
                          </a:prstGeom>
                          <a:ln w="15875">
                            <a:solidFill>
                              <a:srgbClr val="404040"/>
                            </a:solidFill>
                            <a:tailEnd type="triangle" w="med" len="med"/>
                          </a:ln>
                        </wps:spPr>
                        <wps:bodyPr/>
                      </wps:wsp>
                      <wps:wsp>
                        <wps:cNvPr id="12" name="Connector 12"/>
                        <wps:cNvCnPr/>
                        <wps:spPr>
                          <a:xfrm flipH="1">
                            <a:off x="3384000" y="1584000"/>
                            <a:ext cx="1080000" cy="216000"/>
                          </a:xfrm>
                          <a:prstGeom prst="straightConnector1">
                            <a:avLst/>
                          </a:prstGeom>
                          <a:ln w="15875">
                            <a:solidFill>
                              <a:srgbClr val="404040"/>
                            </a:solidFill>
                            <a:tailEnd type="triangle" w="med" len="med"/>
                          </a:ln>
                        </wps:spPr>
                        <wps:bodyPr/>
                      </wps:wsp>
                      <wps:wsp>
                        <wps:cNvPr id="13" name="Shape 13"/>
                        <wps:cNvSpPr/>
                        <wps:spPr>
                          <a:xfrm>
                            <a:off x="1512000" y="1800000"/>
                            <a:ext cx="2880000" cy="342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ASF ≥ RSF: uzoq muddatli va nolikvid aktivlar</w:t>
                              </w:r>
                            </w:p>
                            <w:p>
                              <w:pPr>
                                <w:spacing w:before="0" w:after="0" w:line="228" w:lineRule="auto"/>
                                <w:jc w:val="center"/>
                                <w:ind w:firstLine="0"/>
                              </w:pPr>
                              <w:r>
                                <w:rPr>
                                  <w:rFonts w:ascii="Times New Roman" w:hAnsi="Times New Roman" w:cs="Times New Roman"/>
                                  <w:b/>
                                  <w:color w:val="FFFFFF"/>
                                  <w:sz w:val="20"/>
                                  <w:szCs w:val="20"/>
                                </w:rPr>
                                <w:t xml:space="preserve">barqaror resurslar bilan moliyalashtiriladi</w:t>
                              </w:r>
                            </w:p>
                          </w:txbxContent>
                        </wps:txbx>
                        <wps:bodyPr rot="0" vert="horz" wrap="square" lIns="36000" tIns="18000" rIns="36000" bIns="18000" anchor="ctr" anchorCtr="0">
                          <a:noAutofit/>
                        </wps:bodyPr>
                      </wps:wsp>
                      <wps:wsp>
                        <wps:cNvPr id="14" name="Shape 14"/>
                        <wps:cNvSpPr/>
                        <wps:spPr>
                          <a:xfrm>
                            <a:off x="36000" y="2214000"/>
                            <a:ext cx="5832000" cy="252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Gorizont: 1 yil  •  Maqsad: tarkibiy likvidlik riskini va muddatlar nomutanosibligini cheklash</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1-rasm. Sof barqaror moliyalashtirish me’yorining tuzilmasi</w:t>
      </w:r>
      <w:r>
        <w:rPr>
          <w:rStyle w:val="FootnoteReference"/>
        </w:rPr>
        <w:footnoteReference w:id="23"/>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me’yorning mantig‘i oddiy: barqaror bo‘lmagan aktivlar barqaror resurslar bilan moliyalashtirilishi kerak. Shu bilan birga, uning amaliyotga joriy etilishi turli mamlakatlarda turlicha kechdi. Bazel qo‘mitasi me’yorni 2018-yil 1-yanvardan, likvidlikni qoplash koeffitsiyentidan farqli ravishda, bosqichma-bosqich emas, to‘g‘ridan-to‘g‘ri 100 foizlik darajada joriy etishni ko‘zda tutgan edi. Rossiya va O‘zbekiston bu muddatga amal qildi: Rossiya banki uni 2018-yil 1-yanvardan tizimli ahamiyatli kredit tashkilotlari uchun 100 foiz qilib belgiladi</w:t>
      </w:r>
      <w:r>
        <w:rPr>
          <w:rStyle w:val="FootnoteReference"/>
        </w:rPr>
        <w:footnoteReference w:id="24"/>
      </w:r>
      <w:r>
        <w:rPr>
          <w:rFonts w:ascii="Times New Roman" w:hAnsi="Times New Roman" w:cs="Times New Roman" w:eastAsia="Times New Roman"/>
          <w:sz w:val="28"/>
        </w:rPr>
        <w:t xml:space="preserve">, O‘zbekistonda esa me’yor 2018-yildan barcha tijorat banklari uchun kamida 100 foiz darajasida joriy etildi</w:t>
      </w:r>
      <w:r>
        <w:rPr>
          <w:rStyle w:val="FootnoteReference"/>
        </w:rPr>
        <w:footnoteReference w:id="25"/>
      </w:r>
      <w:r>
        <w:rPr>
          <w:rFonts w:ascii="Times New Roman" w:hAnsi="Times New Roman" w:cs="Times New Roman" w:eastAsia="Times New Roman"/>
          <w:sz w:val="28"/>
        </w:rPr>
        <w:t xml:space="preserve">. Rivojlangan mamlakatlar esa, aksincha, kechikdi: Yevropa Ittifoqida me’yor 2021-yil 28-iyundan</w:t>
      </w:r>
      <w:r>
        <w:rPr>
          <w:rStyle w:val="FootnoteReference"/>
        </w:rPr>
        <w:footnoteReference w:id="26"/>
      </w:r>
      <w:r>
        <w:rPr>
          <w:rFonts w:ascii="Times New Roman" w:hAnsi="Times New Roman" w:cs="Times New Roman" w:eastAsia="Times New Roman"/>
          <w:sz w:val="28"/>
        </w:rPr>
        <w:t xml:space="preserve">, AQShda yirik bank tashkilotlari uchun 2021-yil 1-iyuldan qo‘llana boshladi</w:t>
      </w:r>
      <w:r>
        <w:rPr>
          <w:rStyle w:val="FootnoteReference"/>
        </w:rPr>
        <w:footnoteReference w:id="2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106000"/>
                <wp:effectExtent l="0" t="0" r="0" b="0"/>
                <wp:docPr id="1003" name="2-rasm"/>
                <wp:cNvGraphicFramePr/>
                <a:graphic>
                  <a:graphicData uri="http://schemas.microsoft.com/office/word/2010/wordprocessingGroup">
                    <wpg:wgp>
                      <wpg:cNvGrpSpPr/>
                      <wpg:grpSpPr>
                        <a:xfrm>
                          <a:off x="0" y="0"/>
                          <a:ext cx="5904000" cy="2106000"/>
                          <a:chOff x="0" y="0"/>
                          <a:chExt cx="5904000" cy="2106000"/>
                        </a:xfrm>
                      </wpg:grpSpPr>
                      <wps:wsp>
                        <wps:cNvPr id="15" name="Connector 15"/>
                        <wps:cNvCnPr/>
                        <wps:spPr>
                          <a:xfrm>
                            <a:off x="108000" y="1080000"/>
                            <a:ext cx="5688000" cy="0"/>
                          </a:xfrm>
                          <a:prstGeom prst="straightConnector1">
                            <a:avLst/>
                          </a:prstGeom>
                          <a:ln w="28575">
                            <a:solidFill>
                              <a:srgbClr val="404040"/>
                            </a:solidFill>
                            <a:tailEnd type="triangle" w="med" len="med"/>
                          </a:ln>
                        </wps:spPr>
                        <wps:bodyPr/>
                      </wps:wsp>
                      <wps:wsp>
                        <wps:cNvPr id="16" name="Shape 16"/>
                        <wps:cNvSpPr/>
                        <wps:spPr>
                          <a:xfrm>
                            <a:off x="162000" y="954000"/>
                            <a:ext cx="252000" cy="252000"/>
                          </a:xfrm>
                          <a:prstGeom prst="ellipse">
                            <a:avLst/>
                          </a:prstGeom>
                          <a:solidFill>
                            <a:srgbClr val="1F4E79"/>
                          </a:solidFill>
                          <a:ln w="12700">
                            <a:solidFill>
                              <a:srgbClr val="1F4E79"/>
                            </a:solidFill>
                          </a:ln>
                        </wps:spPr>
                        <wps:bodyPr rot="0" vert="horz" wrap="square" lIns="36000" tIns="18000" rIns="36000" bIns="18000" anchor="ctr" anchorCtr="0">
                          <a:noAutofit/>
                        </wps:bodyPr>
                      </wps:wsp>
                      <wps:wsp>
                        <wps:cNvPr id="17" name="Shape 17"/>
                        <wps:cNvSpPr/>
                        <wps:spPr>
                          <a:xfrm>
                            <a:off x="72000" y="1242000"/>
                            <a:ext cx="4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2010</w:t>
                              </w:r>
                            </w:p>
                          </w:txbxContent>
                        </wps:txbx>
                        <wps:bodyPr rot="0" vert="horz" wrap="square" lIns="36000" tIns="18000" rIns="36000" bIns="18000" anchor="ctr" anchorCtr="0">
                          <a:noAutofit/>
                        </wps:bodyPr>
                      </wps:wsp>
                      <wps:wsp>
                        <wps:cNvPr id="18" name="Shape 18"/>
                        <wps:cNvSpPr/>
                        <wps:spPr>
                          <a:xfrm>
                            <a:off x="36000" y="36000"/>
                            <a:ext cx="1368000" cy="576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Bazel III: likvidlik</w:t>
                              </w:r>
                            </w:p>
                            <w:p>
                              <w:pPr>
                                <w:spacing w:before="0" w:after="0" w:line="228" w:lineRule="auto"/>
                                <w:jc w:val="center"/>
                                <w:ind w:firstLine="0"/>
                              </w:pPr>
                              <w:r>
                                <w:rPr>
                                  <w:rFonts w:ascii="Times New Roman" w:hAnsi="Times New Roman" w:cs="Times New Roman"/>
                                  <w:color w:val="000000"/>
                                  <w:sz w:val="17"/>
                                  <w:szCs w:val="17"/>
                                </w:rPr>
                                <w:t xml:space="preserve">standartlari e’lon qilindi</w:t>
                              </w:r>
                            </w:p>
                          </w:txbxContent>
                        </wps:txbx>
                        <wps:bodyPr rot="0" vert="horz" wrap="square" lIns="36000" tIns="18000" rIns="36000" bIns="18000" anchor="ctr" anchorCtr="0">
                          <a:noAutofit/>
                        </wps:bodyPr>
                      </wps:wsp>
                      <wps:wsp>
                        <wps:cNvPr id="19" name="Connector 19"/>
                        <wps:cNvCnPr/>
                        <wps:spPr>
                          <a:xfrm>
                            <a:off x="288000" y="612000"/>
                            <a:ext cx="0" cy="342000"/>
                          </a:xfrm>
                          <a:prstGeom prst="straightConnector1">
                            <a:avLst/>
                          </a:prstGeom>
                          <a:ln w="12700">
                            <a:solidFill>
                              <a:srgbClr val="1F4E79"/>
                            </a:solidFill>
                          </a:ln>
                        </wps:spPr>
                        <wps:bodyPr/>
                      </wps:wsp>
                      <wps:wsp>
                        <wps:cNvPr id="20" name="Shape 20"/>
                        <wps:cNvSpPr/>
                        <wps:spPr>
                          <a:xfrm>
                            <a:off x="1476000" y="954000"/>
                            <a:ext cx="252000" cy="252000"/>
                          </a:xfrm>
                          <a:prstGeom prst="ellipse">
                            <a:avLst/>
                          </a:prstGeom>
                          <a:solidFill>
                            <a:srgbClr val="2A78D6"/>
                          </a:solidFill>
                          <a:ln w="12700">
                            <a:solidFill>
                              <a:srgbClr val="2A78D6"/>
                            </a:solidFill>
                          </a:ln>
                        </wps:spPr>
                        <wps:bodyPr rot="0" vert="horz" wrap="square" lIns="36000" tIns="18000" rIns="36000" bIns="18000" anchor="ctr" anchorCtr="0">
                          <a:noAutofit/>
                        </wps:bodyPr>
                      </wps:wsp>
                      <wps:wsp>
                        <wps:cNvPr id="21" name="Shape 21"/>
                        <wps:cNvSpPr/>
                        <wps:spPr>
                          <a:xfrm>
                            <a:off x="1386000" y="702000"/>
                            <a:ext cx="4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2014</w:t>
                              </w:r>
                            </w:p>
                          </w:txbxContent>
                        </wps:txbx>
                        <wps:bodyPr rot="0" vert="horz" wrap="square" lIns="36000" tIns="18000" rIns="36000" bIns="18000" anchor="ctr" anchorCtr="0">
                          <a:noAutofit/>
                        </wps:bodyPr>
                      </wps:wsp>
                      <wps:wsp>
                        <wps:cNvPr id="22" name="Shape 22"/>
                        <wps:cNvSpPr/>
                        <wps:spPr>
                          <a:xfrm>
                            <a:off x="918000" y="1548000"/>
                            <a:ext cx="1368000" cy="504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Yakuniy standart</w:t>
                              </w:r>
                            </w:p>
                            <w:p>
                              <w:pPr>
                                <w:spacing w:before="0" w:after="0" w:line="228" w:lineRule="auto"/>
                                <w:jc w:val="center"/>
                                <w:ind w:firstLine="0"/>
                              </w:pPr>
                              <w:r>
                                <w:rPr>
                                  <w:rFonts w:ascii="Times New Roman" w:hAnsi="Times New Roman" w:cs="Times New Roman"/>
                                  <w:color w:val="000000"/>
                                  <w:sz w:val="17"/>
                                  <w:szCs w:val="17"/>
                                </w:rPr>
                                <w:t xml:space="preserve">(oktabr)</w:t>
                              </w:r>
                            </w:p>
                          </w:txbxContent>
                        </wps:txbx>
                        <wps:bodyPr rot="0" vert="horz" wrap="square" lIns="36000" tIns="18000" rIns="36000" bIns="18000" anchor="ctr" anchorCtr="0">
                          <a:noAutofit/>
                        </wps:bodyPr>
                      </wps:wsp>
                      <wps:wsp>
                        <wps:cNvPr id="23" name="Connector 23"/>
                        <wps:cNvCnPr/>
                        <wps:spPr>
                          <a:xfrm>
                            <a:off x="1602000" y="1206000"/>
                            <a:ext cx="0" cy="342000"/>
                          </a:xfrm>
                          <a:prstGeom prst="straightConnector1">
                            <a:avLst/>
                          </a:prstGeom>
                          <a:ln w="12700">
                            <a:solidFill>
                              <a:srgbClr val="2A78D6"/>
                            </a:solidFill>
                          </a:ln>
                        </wps:spPr>
                        <wps:bodyPr/>
                      </wps:wsp>
                      <wps:wsp>
                        <wps:cNvPr id="24" name="Shape 24"/>
                        <wps:cNvSpPr/>
                        <wps:spPr>
                          <a:xfrm>
                            <a:off x="2790000" y="954000"/>
                            <a:ext cx="252000" cy="252000"/>
                          </a:xfrm>
                          <a:prstGeom prst="ellipse">
                            <a:avLst/>
                          </a:prstGeom>
                          <a:solidFill>
                            <a:srgbClr val="70AD47"/>
                          </a:solidFill>
                          <a:ln w="12700">
                            <a:solidFill>
                              <a:srgbClr val="70AD47"/>
                            </a:solidFill>
                          </a:ln>
                        </wps:spPr>
                        <wps:bodyPr rot="0" vert="horz" wrap="square" lIns="36000" tIns="18000" rIns="36000" bIns="18000" anchor="ctr" anchorCtr="0">
                          <a:noAutofit/>
                        </wps:bodyPr>
                      </wps:wsp>
                      <wps:wsp>
                        <wps:cNvPr id="25" name="Shape 25"/>
                        <wps:cNvSpPr/>
                        <wps:spPr>
                          <a:xfrm>
                            <a:off x="2700000" y="1242000"/>
                            <a:ext cx="4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2018</w:t>
                              </w:r>
                            </w:p>
                          </w:txbxContent>
                        </wps:txbx>
                        <wps:bodyPr rot="0" vert="horz" wrap="square" lIns="36000" tIns="18000" rIns="36000" bIns="18000" anchor="ctr" anchorCtr="0">
                          <a:noAutofit/>
                        </wps:bodyPr>
                      </wps:wsp>
                      <wps:wsp>
                        <wps:cNvPr id="26" name="Shape 26"/>
                        <wps:cNvSpPr/>
                        <wps:spPr>
                          <a:xfrm>
                            <a:off x="2232000" y="36000"/>
                            <a:ext cx="1368000" cy="57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Bazel muddati; Rossiya</w:t>
                              </w:r>
                            </w:p>
                            <w:p>
                              <w:pPr>
                                <w:spacing w:before="0" w:after="0" w:line="228" w:lineRule="auto"/>
                                <w:jc w:val="center"/>
                                <w:ind w:firstLine="0"/>
                              </w:pPr>
                              <w:r>
                                <w:rPr>
                                  <w:rFonts w:ascii="Times New Roman" w:hAnsi="Times New Roman" w:cs="Times New Roman"/>
                                  <w:color w:val="000000"/>
                                  <w:sz w:val="17"/>
                                  <w:szCs w:val="17"/>
                                </w:rPr>
                                <w:t xml:space="preserve">(tizimli banklar) va</w:t>
                              </w:r>
                            </w:p>
                            <w:p>
                              <w:pPr>
                                <w:spacing w:before="0" w:after="0" w:line="228" w:lineRule="auto"/>
                                <w:jc w:val="center"/>
                                <w:ind w:firstLine="0"/>
                              </w:pPr>
                              <w:r>
                                <w:rPr>
                                  <w:rFonts w:ascii="Times New Roman" w:hAnsi="Times New Roman" w:cs="Times New Roman"/>
                                  <w:color w:val="000000"/>
                                  <w:sz w:val="17"/>
                                  <w:szCs w:val="17"/>
                                </w:rPr>
                                <w:t xml:space="preserve">O‘zbekiston – 100%</w:t>
                              </w:r>
                            </w:p>
                          </w:txbxContent>
                        </wps:txbx>
                        <wps:bodyPr rot="0" vert="horz" wrap="square" lIns="36000" tIns="18000" rIns="36000" bIns="18000" anchor="ctr" anchorCtr="0">
                          <a:noAutofit/>
                        </wps:bodyPr>
                      </wps:wsp>
                      <wps:wsp>
                        <wps:cNvPr id="27" name="Connector 27"/>
                        <wps:cNvCnPr/>
                        <wps:spPr>
                          <a:xfrm>
                            <a:off x="2916000" y="612000"/>
                            <a:ext cx="0" cy="342000"/>
                          </a:xfrm>
                          <a:prstGeom prst="straightConnector1">
                            <a:avLst/>
                          </a:prstGeom>
                          <a:ln w="12700">
                            <a:solidFill>
                              <a:srgbClr val="70AD47"/>
                            </a:solidFill>
                          </a:ln>
                        </wps:spPr>
                        <wps:bodyPr/>
                      </wps:wsp>
                      <wps:wsp>
                        <wps:cNvPr id="28" name="Shape 28"/>
                        <wps:cNvSpPr/>
                        <wps:spPr>
                          <a:xfrm>
                            <a:off x="3775500" y="954000"/>
                            <a:ext cx="252000" cy="252000"/>
                          </a:xfrm>
                          <a:prstGeom prst="ellipse">
                            <a:avLst/>
                          </a:prstGeom>
                          <a:solidFill>
                            <a:srgbClr val="EB6834"/>
                          </a:solidFill>
                          <a:ln w="12700">
                            <a:solidFill>
                              <a:srgbClr val="EB6834"/>
                            </a:solidFill>
                          </a:ln>
                        </wps:spPr>
                        <wps:bodyPr rot="0" vert="horz" wrap="square" lIns="36000" tIns="18000" rIns="36000" bIns="18000" anchor="ctr" anchorCtr="0">
                          <a:noAutofit/>
                        </wps:bodyPr>
                      </wps:wsp>
                      <wps:wsp>
                        <wps:cNvPr id="29" name="Shape 29"/>
                        <wps:cNvSpPr/>
                        <wps:spPr>
                          <a:xfrm>
                            <a:off x="3685500" y="702000"/>
                            <a:ext cx="4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2021</w:t>
                              </w:r>
                            </w:p>
                          </w:txbxContent>
                        </wps:txbx>
                        <wps:bodyPr rot="0" vert="horz" wrap="square" lIns="36000" tIns="18000" rIns="36000" bIns="18000" anchor="ctr" anchorCtr="0">
                          <a:noAutofit/>
                        </wps:bodyPr>
                      </wps:wsp>
                      <wps:wsp>
                        <wps:cNvPr id="30" name="Shape 30"/>
                        <wps:cNvSpPr/>
                        <wps:spPr>
                          <a:xfrm>
                            <a:off x="3217500" y="1548000"/>
                            <a:ext cx="1368000" cy="504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Yevropa Ittifoqi (28 iyun),</w:t>
                              </w:r>
                            </w:p>
                            <w:p>
                              <w:pPr>
                                <w:spacing w:before="0" w:after="0" w:line="228" w:lineRule="auto"/>
                                <w:jc w:val="center"/>
                                <w:ind w:firstLine="0"/>
                              </w:pPr>
                              <w:r>
                                <w:rPr>
                                  <w:rFonts w:ascii="Times New Roman" w:hAnsi="Times New Roman" w:cs="Times New Roman"/>
                                  <w:color w:val="000000"/>
                                  <w:sz w:val="17"/>
                                  <w:szCs w:val="17"/>
                                </w:rPr>
                                <w:t xml:space="preserve">AQSh (1 iyul) – 100%</w:t>
                              </w:r>
                            </w:p>
                          </w:txbxContent>
                        </wps:txbx>
                        <wps:bodyPr rot="0" vert="horz" wrap="square" lIns="36000" tIns="18000" rIns="36000" bIns="18000" anchor="ctr" anchorCtr="0">
                          <a:noAutofit/>
                        </wps:bodyPr>
                      </wps:wsp>
                      <wps:wsp>
                        <wps:cNvPr id="31" name="Connector 31"/>
                        <wps:cNvCnPr/>
                        <wps:spPr>
                          <a:xfrm>
                            <a:off x="3901500" y="1206000"/>
                            <a:ext cx="0" cy="342000"/>
                          </a:xfrm>
                          <a:prstGeom prst="straightConnector1">
                            <a:avLst/>
                          </a:prstGeom>
                          <a:ln w="12700">
                            <a:solidFill>
                              <a:srgbClr val="EB6834"/>
                            </a:solidFill>
                          </a:ln>
                        </wps:spPr>
                        <wps:bodyPr/>
                      </wps:wsp>
                      <wps:wsp>
                        <wps:cNvPr id="32" name="Shape 32"/>
                        <wps:cNvSpPr/>
                        <wps:spPr>
                          <a:xfrm>
                            <a:off x="5418000" y="954000"/>
                            <a:ext cx="252000" cy="252000"/>
                          </a:xfrm>
                          <a:prstGeom prst="ellipse">
                            <a:avLst/>
                          </a:prstGeom>
                          <a:solidFill>
                            <a:srgbClr val="FFC000"/>
                          </a:solidFill>
                          <a:ln w="12700">
                            <a:solidFill>
                              <a:srgbClr val="FFC000"/>
                            </a:solidFill>
                          </a:ln>
                        </wps:spPr>
                        <wps:bodyPr rot="0" vert="horz" wrap="square" lIns="36000" tIns="18000" rIns="36000" bIns="18000" anchor="ctr" anchorCtr="0">
                          <a:noAutofit/>
                        </wps:bodyPr>
                      </wps:wsp>
                      <wps:wsp>
                        <wps:cNvPr id="33" name="Shape 33"/>
                        <wps:cNvSpPr/>
                        <wps:spPr>
                          <a:xfrm>
                            <a:off x="5328000" y="1242000"/>
                            <a:ext cx="4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2026</w:t>
                              </w:r>
                            </w:p>
                          </w:txbxContent>
                        </wps:txbx>
                        <wps:bodyPr rot="0" vert="horz" wrap="square" lIns="36000" tIns="18000" rIns="36000" bIns="18000" anchor="ctr" anchorCtr="0">
                          <a:noAutofit/>
                        </wps:bodyPr>
                      </wps:wsp>
                      <wps:wsp>
                        <wps:cNvPr id="34" name="Shape 34"/>
                        <wps:cNvSpPr/>
                        <wps:spPr>
                          <a:xfrm>
                            <a:off x="4500000" y="36000"/>
                            <a:ext cx="1368000" cy="576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O‘zbekiston: elementlarni</w:t>
                              </w:r>
                            </w:p>
                            <w:p>
                              <w:pPr>
                                <w:spacing w:before="0" w:after="0" w:line="228" w:lineRule="auto"/>
                                <w:jc w:val="center"/>
                                <w:ind w:firstLine="0"/>
                              </w:pPr>
                              <w:r>
                                <w:rPr>
                                  <w:rFonts w:ascii="Times New Roman" w:hAnsi="Times New Roman" w:cs="Times New Roman"/>
                                  <w:color w:val="000000"/>
                                  <w:sz w:val="17"/>
                                  <w:szCs w:val="17"/>
                                </w:rPr>
                                <w:t xml:space="preserve">Bazel III ga to‘liq</w:t>
                              </w:r>
                            </w:p>
                            <w:p>
                              <w:pPr>
                                <w:spacing w:before="0" w:after="0" w:line="228" w:lineRule="auto"/>
                                <w:jc w:val="center"/>
                                <w:ind w:firstLine="0"/>
                              </w:pPr>
                              <w:r>
                                <w:rPr>
                                  <w:rFonts w:ascii="Times New Roman" w:hAnsi="Times New Roman" w:cs="Times New Roman"/>
                                  <w:color w:val="000000"/>
                                  <w:sz w:val="17"/>
                                  <w:szCs w:val="17"/>
                                </w:rPr>
                                <w:t xml:space="preserve">moslashtirish, monitoring</w:t>
                              </w:r>
                            </w:p>
                          </w:txbxContent>
                        </wps:txbx>
                        <wps:bodyPr rot="0" vert="horz" wrap="square" lIns="36000" tIns="18000" rIns="36000" bIns="18000" anchor="ctr" anchorCtr="0">
                          <a:noAutofit/>
                        </wps:bodyPr>
                      </wps:wsp>
                      <wps:wsp>
                        <wps:cNvPr id="35" name="Connector 35"/>
                        <wps:cNvCnPr/>
                        <wps:spPr>
                          <a:xfrm>
                            <a:off x="5544000" y="612000"/>
                            <a:ext cx="0" cy="342000"/>
                          </a:xfrm>
                          <a:prstGeom prst="straightConnector1">
                            <a:avLst/>
                          </a:prstGeom>
                          <a:ln w="12700">
                            <a:solidFill>
                              <a:srgbClr val="FFC000"/>
                            </a:solidFill>
                          </a:ln>
                        </wps:spPr>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2-rasm. Sof barqaror moliyalashtirish me’yorini joriy etish xronologiyasi</w:t>
      </w:r>
      <w:r>
        <w:rPr>
          <w:rStyle w:val="FootnoteReference"/>
        </w:rPr>
        <w:footnoteReference w:id="28"/>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O‘zbekiston bu standartni xalqaro muddatda va rivojlangan mamlakatlarning ko‘pchiligidan oldin joriy etgan. Bundan tashqari, Rossiyadan farqli ravishda, me’yor faqat tizimli banklarga emas, barcha tijorat banklariga tatbiq etilgan. Biroq me’yorning rasmiy joriy etilganligi uning Bazel standartiga to‘liq mosligini anglatmaydi. XVJ va Jahon bankining moliya sektorini baholash dasturi natijalari asosida qabul qilingan «yo‘l xaritasi»da O‘zbekistondagi likvidlik koeffitsiyentlarining ayrim elementlari Bazel III dan farq qilishi qayd etilib, ularni to‘liq moslashtirish va 2026-yil 1-yanvardan monitoring qilish vazifasi belgilangan</w:t>
      </w:r>
      <w:r>
        <w:rPr>
          <w:rStyle w:val="FootnoteReference"/>
        </w:rPr>
        <w:footnoteReference w:id="29"/>
      </w:r>
      <w:r>
        <w:rPr>
          <w:rFonts w:ascii="Times New Roman" w:hAnsi="Times New Roman" w:cs="Times New Roman" w:eastAsia="Times New Roman"/>
          <w:sz w:val="28"/>
        </w:rPr>
        <w:t xml:space="preserve">. Demak, mamlakatda bu me’yorni joriy etishning keyingi bosqichi miqdoriy chegarani emas, balki koeffitsiyentlar va aktivlar tasnifini xalqaro standartga moslashtirishni nazarda tutadi.</w:t>
      </w:r>
    </w:p>
    <w:p>
      <w:pPr>
        <w:pStyle w:val="BodyText"/>
        <w:spacing w:line="360" w:lineRule="auto" w:before="0" w:after="0"/>
        <w:ind w:firstLine="709"/>
        <w:jc w:val="both"/>
      </w:pPr>
      <w:r>
        <w:rPr>
          <w:rFonts w:ascii="Times New Roman" w:hAnsi="Times New Roman" w:cs="Times New Roman" w:eastAsia="Times New Roman"/>
          <w:sz w:val="28"/>
        </w:rPr>
        <w:t xml:space="preserve">Amaliyotda banklar bu me’yorni sezilarli zaxira bilan bajarib kelmoqda. Masalan, «Xalq banki» AT da sof barqaror moliyalashtirish me’yori 2024-yilda 137,3 foizni tashkil etib, oldingi yilga nisbatan 16,4 foiz punktga oshgan</w:t>
      </w:r>
      <w:r>
        <w:rPr>
          <w:rStyle w:val="FootnoteReference"/>
        </w:rPr>
        <w:footnoteReference w:id="30"/>
      </w:r>
      <w:r>
        <w:rPr>
          <w:rFonts w:ascii="Times New Roman" w:hAnsi="Times New Roman" w:cs="Times New Roman" w:eastAsia="Times New Roman"/>
          <w:sz w:val="28"/>
        </w:rPr>
        <w:t xml:space="preserve">. B.T. Berdiyarov ham O‘zbekistonda likvidlikni baholash tizimini XVJ ko‘rsatkichlari asosida, lahzali va joriy likvidlik, likvidlikni qoplash koeffitsiyenti hamda sof barqaror moliyalashtirish me’yori bilan birgalikda shakllantirishni taklif etadi</w:t>
      </w:r>
      <w:r>
        <w:rPr>
          <w:rStyle w:val="FootnoteReference"/>
        </w:rPr>
        <w:footnoteReference w:id="31"/>
      </w:r>
      <w:r>
        <w:rPr>
          <w:rFonts w:ascii="Times New Roman" w:hAnsi="Times New Roman" w:cs="Times New Roman" w:eastAsia="Times New Roman"/>
          <w:sz w:val="28"/>
        </w:rPr>
        <w:t xml:space="preserve">. Bu yondashuv bilan qo‘shilgan holda ta’kidlash lozimki, moliyaviy barqarorlikni integral baholashda sof barqaror moliyalashtirish me’yori likvidlik blokining tarkibiy qismi sifatida, likvidlikni qoplash koeffitsiyenti bilan bir qatorda hisobga olinishi kerak. Chunki faqat qisqa muddatli likvidlikni baholash bankning moliyalashtirish tuzilmasidagi chuqurroq nomutanosiblikni ko‘rmay qolishi mumkin.</w:t>
      </w:r>
    </w:p>
    <w:p>
      <w:pPr>
        <w:pStyle w:val="BodyText"/>
        <w:spacing w:line="360" w:lineRule="auto" w:before="0" w:after="0"/>
        <w:ind w:firstLine="709"/>
        <w:jc w:val="both"/>
      </w:pPr>
      <w:r>
        <w:rPr>
          <w:rFonts w:ascii="Times New Roman" w:hAnsi="Times New Roman" w:cs="Times New Roman" w:eastAsia="Times New Roman"/>
          <w:sz w:val="28"/>
        </w:rPr>
        <w:t xml:space="preserve">Sof barqaror moliyalashtirish me’yorini hisoblashda yana bir muhim masala – milliy hisobot va MHXS 9 ma’lumotlari o‘rtasidagi farq. Me’yorning formulasi va koeffitsiyentlari buxgalteriya standartiga bog‘liq emas, ular Bazel standarti va Markaziy bank nizomi bilan belgilanadi. Biroq hisob-kitobga kiritiladigan summalar va ularning tasnifi aynan buxgalteriya hisobidan olinadi, shu sababli natija qaysi hisobot asosida hisoblanganiga qarab farq qiladi. Bu farq asosan besh yo‘nalishda yuzaga keladi: birinchidan, MHXS 9 bo‘yicha kutilgan kredit zararlari uchun shakllantiriladigan zaxiralar odatda kattaroq bo‘lib, ular bir vaqtning o‘zida kapitalni, ya’ni mavjud barqaror moliyalashtirishni va kreditlarning sof qiymatini, ya’ni talab qilinadigan barqaror moliyalashtirishni kamaytiradi; ikkinchidan, muammoli kreditlar ta’rifi farq qiladi, MHXS 9 dagi 3-bosqich bilan milliy tasnifdagi toifalar mos kelmaydi, bunda muammoli deb topilgan kredit uchun koeffitsiyent 85 foizdan 100 foizga oshadi; uchinchidan, qimmatli qog‘ozlar amortizatsiya qilingan yoki haqqoniy qiymatda turlicha baholanadi; to‘rtinchidan, MHXS hisoboti odatda bank guruhi bo‘yicha konsolidatsiyalangan bo‘ladi; beshinchidan, MHXS 9 bo‘yicha balansdan tashqari majburiyatlar uchun ham zaxira yaratiladi. Ushbu farqlarning me’yorga ta’siri shartli misolda 2-jadvalda ko‘rsatildi.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Milliy hisobot va MHXS 9 asosida sof barqaror moliyalashtirish me’yorini hisoblash (shartli misol)</w:t>
      </w:r>
      <w:r>
        <w:rPr>
          <w:rStyle w:val="FootnoteReference"/>
        </w:rPr>
        <w:footnoteReference w:id="32"/>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Milliy hisobot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9: qo‘shimcha zaxira</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9: zaxira va muammoli kreditlar tasnifi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w:t>
            </w:r>
          </w:p>
        </w:tc>
        <w:tc>
          <w:tcPr/>
          <w:p>
            <w:pPr>
              <w:pStyle w:val="Compact"/>
              <w:spacing w:line="240" w:lineRule="auto"/>
              <w:ind w:firstLine="0"/>
              <w:jc w:val="left"/>
            </w:pPr>
            <w:r>
              <w:rPr>
                <w:rFonts w:ascii="Times New Roman" w:hAnsi="Times New Roman" w:cs="Times New Roman" w:eastAsia="Times New Roman"/>
                <w:sz w:val="22"/>
              </w:rPr>
              <w:t xml:space="preserve">150</w:t>
            </w:r>
          </w:p>
        </w:tc>
        <w:tc>
          <w:tcPr/>
          <w:p>
            <w:pPr>
              <w:pStyle w:val="Compact"/>
              <w:spacing w:line="240" w:lineRule="auto"/>
              <w:ind w:firstLine="0"/>
              <w:jc w:val="left"/>
            </w:pPr>
            <w:r>
              <w:rPr>
                <w:rFonts w:ascii="Times New Roman" w:hAnsi="Times New Roman" w:cs="Times New Roman" w:eastAsia="Times New Roman"/>
                <w:sz w:val="22"/>
              </w:rPr>
              <w:t xml:space="preserve">110</w:t>
            </w:r>
          </w:p>
        </w:tc>
        <w:tc>
          <w:tcPr/>
          <w:p>
            <w:pPr>
              <w:pStyle w:val="Compact"/>
              <w:spacing w:line="240" w:lineRule="auto"/>
              <w:ind w:firstLine="0"/>
              <w:jc w:val="left"/>
            </w:pPr>
            <w:r>
              <w:rPr>
                <w:rFonts w:ascii="Times New Roman" w:hAnsi="Times New Roman" w:cs="Times New Roman" w:eastAsia="Times New Roman"/>
                <w:sz w:val="22"/>
              </w:rPr>
              <w:t xml:space="preserve">110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Ishlaydigan kreditlar (sof)</w:t>
            </w:r>
          </w:p>
        </w:tc>
        <w:tc>
          <w:tcPr/>
          <w:p>
            <w:pPr>
              <w:pStyle w:val="Compact"/>
              <w:spacing w:line="240" w:lineRule="auto"/>
              <w:ind w:firstLine="0"/>
              <w:jc w:val="left"/>
            </w:pPr>
            <w:r>
              <w:rPr>
                <w:rFonts w:ascii="Times New Roman" w:hAnsi="Times New Roman" w:cs="Times New Roman" w:eastAsia="Times New Roman"/>
                <w:sz w:val="22"/>
              </w:rPr>
              <w:t xml:space="preserve">800</w:t>
            </w:r>
          </w:p>
        </w:tc>
        <w:tc>
          <w:tcPr/>
          <w:p>
            <w:pPr>
              <w:pStyle w:val="Compact"/>
              <w:spacing w:line="240" w:lineRule="auto"/>
              <w:ind w:firstLine="0"/>
              <w:jc w:val="left"/>
            </w:pPr>
            <w:r>
              <w:rPr>
                <w:rFonts w:ascii="Times New Roman" w:hAnsi="Times New Roman" w:cs="Times New Roman" w:eastAsia="Times New Roman"/>
                <w:sz w:val="22"/>
              </w:rPr>
              <w:t xml:space="preserve">780</w:t>
            </w:r>
          </w:p>
        </w:tc>
        <w:tc>
          <w:tcPr/>
          <w:p>
            <w:pPr>
              <w:pStyle w:val="Compact"/>
              <w:spacing w:line="240" w:lineRule="auto"/>
              <w:ind w:firstLine="0"/>
              <w:jc w:val="left"/>
            </w:pPr>
            <w:r>
              <w:rPr>
                <w:rFonts w:ascii="Times New Roman" w:hAnsi="Times New Roman" w:cs="Times New Roman" w:eastAsia="Times New Roman"/>
                <w:sz w:val="22"/>
              </w:rPr>
              <w:t xml:space="preserve">720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Muammoli kreditlar (sof)</w:t>
            </w:r>
          </w:p>
        </w:tc>
        <w:tc>
          <w:tcPr/>
          <w:p>
            <w:pPr>
              <w:pStyle w:val="Compact"/>
              <w:spacing w:line="240" w:lineRule="auto"/>
              <w:ind w:firstLine="0"/>
              <w:jc w:val="left"/>
            </w:pPr>
            <w:r>
              <w:rPr>
                <w:rFonts w:ascii="Times New Roman" w:hAnsi="Times New Roman" w:cs="Times New Roman" w:eastAsia="Times New Roman"/>
                <w:sz w:val="22"/>
              </w:rPr>
              <w:t xml:space="preserve">50</w:t>
            </w:r>
          </w:p>
        </w:tc>
        <w:tc>
          <w:tcPr/>
          <w:p>
            <w:pPr>
              <w:pStyle w:val="Compact"/>
              <w:spacing w:line="240" w:lineRule="auto"/>
              <w:ind w:firstLine="0"/>
              <w:jc w:val="left"/>
            </w:pPr>
            <w:r>
              <w:rPr>
                <w:rFonts w:ascii="Times New Roman" w:hAnsi="Times New Roman" w:cs="Times New Roman" w:eastAsia="Times New Roman"/>
                <w:sz w:val="22"/>
              </w:rPr>
              <w:t xml:space="preserve">30</w:t>
            </w:r>
          </w:p>
        </w:tc>
        <w:tc>
          <w:tcPr/>
          <w:p>
            <w:pPr>
              <w:pStyle w:val="Compact"/>
              <w:spacing w:line="240" w:lineRule="auto"/>
              <w:ind w:firstLine="0"/>
              <w:jc w:val="left"/>
            </w:pPr>
            <w:r>
              <w:rPr>
                <w:rFonts w:ascii="Times New Roman" w:hAnsi="Times New Roman" w:cs="Times New Roman" w:eastAsia="Times New Roman"/>
                <w:sz w:val="22"/>
              </w:rPr>
              <w:t xml:space="preserve">90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Mavjud barqaror moliyalashtirish (ASF)</w:t>
            </w:r>
          </w:p>
        </w:tc>
        <w:tc>
          <w:tcPr/>
          <w:p>
            <w:pPr>
              <w:pStyle w:val="Compact"/>
              <w:spacing w:line="240" w:lineRule="auto"/>
              <w:ind w:firstLine="0"/>
              <w:jc w:val="left"/>
            </w:pPr>
            <w:r>
              <w:rPr>
                <w:rFonts w:ascii="Times New Roman" w:hAnsi="Times New Roman" w:cs="Times New Roman" w:eastAsia="Times New Roman"/>
                <w:sz w:val="22"/>
              </w:rPr>
              <w:t xml:space="preserve">840</w:t>
            </w:r>
          </w:p>
        </w:tc>
        <w:tc>
          <w:tcPr/>
          <w:p>
            <w:pPr>
              <w:pStyle w:val="Compact"/>
              <w:spacing w:line="240" w:lineRule="auto"/>
              <w:ind w:firstLine="0"/>
              <w:jc w:val="left"/>
            </w:pPr>
            <w:r>
              <w:rPr>
                <w:rFonts w:ascii="Times New Roman" w:hAnsi="Times New Roman" w:cs="Times New Roman" w:eastAsia="Times New Roman"/>
                <w:sz w:val="22"/>
              </w:rPr>
              <w:t xml:space="preserve">800</w:t>
            </w:r>
          </w:p>
        </w:tc>
        <w:tc>
          <w:tcPr/>
          <w:p>
            <w:pPr>
              <w:pStyle w:val="Compact"/>
              <w:spacing w:line="240" w:lineRule="auto"/>
              <w:ind w:firstLine="0"/>
              <w:jc w:val="left"/>
            </w:pPr>
            <w:r>
              <w:rPr>
                <w:rFonts w:ascii="Times New Roman" w:hAnsi="Times New Roman" w:cs="Times New Roman" w:eastAsia="Times New Roman"/>
                <w:sz w:val="22"/>
              </w:rPr>
              <w:t xml:space="preserve">800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Talab qilinadigan barqaror moliyalashtirish (RSF)</w:t>
            </w:r>
          </w:p>
        </w:tc>
        <w:tc>
          <w:tcPr/>
          <w:p>
            <w:pPr>
              <w:pStyle w:val="Compact"/>
              <w:spacing w:line="240" w:lineRule="auto"/>
              <w:ind w:firstLine="0"/>
              <w:jc w:val="left"/>
            </w:pPr>
            <w:r>
              <w:rPr>
                <w:rFonts w:ascii="Times New Roman" w:hAnsi="Times New Roman" w:cs="Times New Roman" w:eastAsia="Times New Roman"/>
                <w:sz w:val="22"/>
              </w:rPr>
              <w:t xml:space="preserve">735</w:t>
            </w:r>
          </w:p>
        </w:tc>
        <w:tc>
          <w:tcPr/>
          <w:p>
            <w:pPr>
              <w:pStyle w:val="Compact"/>
              <w:spacing w:line="240" w:lineRule="auto"/>
              <w:ind w:firstLine="0"/>
              <w:jc w:val="left"/>
            </w:pPr>
            <w:r>
              <w:rPr>
                <w:rFonts w:ascii="Times New Roman" w:hAnsi="Times New Roman" w:cs="Times New Roman" w:eastAsia="Times New Roman"/>
                <w:sz w:val="22"/>
              </w:rPr>
              <w:t xml:space="preserve">698</w:t>
            </w:r>
          </w:p>
        </w:tc>
        <w:tc>
          <w:tcPr/>
          <w:p>
            <w:pPr>
              <w:pStyle w:val="Compact"/>
              <w:spacing w:line="240" w:lineRule="auto"/>
              <w:ind w:firstLine="0"/>
              <w:jc w:val="left"/>
            </w:pPr>
            <w:r>
              <w:rPr>
                <w:rFonts w:ascii="Times New Roman" w:hAnsi="Times New Roman" w:cs="Times New Roman" w:eastAsia="Times New Roman"/>
                <w:sz w:val="22"/>
              </w:rPr>
              <w:t xml:space="preserve">707</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Sof barqaror moliyalashtirish me’yori, %</w:t>
            </w:r>
          </w:p>
        </w:tc>
        <w:tc>
          <w:tcPr/>
          <w:p>
            <w:pPr>
              <w:pStyle w:val="Compact"/>
              <w:spacing w:line="240" w:lineRule="auto"/>
              <w:ind w:firstLine="0"/>
              <w:jc w:val="left"/>
            </w:pPr>
            <w:r>
              <w:rPr>
                <w:rFonts w:ascii="Times New Roman" w:hAnsi="Times New Roman" w:cs="Times New Roman" w:eastAsia="Times New Roman"/>
                <w:sz w:val="22"/>
              </w:rPr>
              <w:t xml:space="preserve">114,3</w:t>
            </w:r>
          </w:p>
        </w:tc>
        <w:tc>
          <w:tcPr/>
          <w:p>
            <w:pPr>
              <w:pStyle w:val="Compact"/>
              <w:spacing w:line="240" w:lineRule="auto"/>
              <w:ind w:firstLine="0"/>
              <w:jc w:val="left"/>
            </w:pPr>
            <w:r>
              <w:rPr>
                <w:rFonts w:ascii="Times New Roman" w:hAnsi="Times New Roman" w:cs="Times New Roman" w:eastAsia="Times New Roman"/>
                <w:sz w:val="22"/>
              </w:rPr>
              <w:t xml:space="preserve">114,6</w:t>
            </w:r>
          </w:p>
        </w:tc>
        <w:tc>
          <w:tcPr/>
          <w:p>
            <w:pPr>
              <w:pStyle w:val="Compact"/>
              <w:spacing w:line="240" w:lineRule="auto"/>
              <w:ind w:firstLine="0"/>
              <w:jc w:val="left"/>
            </w:pPr>
            <w:r>
              <w:rPr>
                <w:rFonts w:ascii="Times New Roman" w:hAnsi="Times New Roman" w:cs="Times New Roman" w:eastAsia="Times New Roman"/>
                <w:sz w:val="22"/>
              </w:rPr>
              <w:t xml:space="preserve">113,2</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Kapitalning o‘zgarishi, %</w:t>
            </w:r>
          </w:p>
        </w:tc>
        <w:tc>
          <w:tcPr/>
          <w:p>
            <w:pPr>
              <w:pStyle w:val="Compact"/>
              <w:spacing w:line="240" w:lineRule="auto"/>
              <w:ind w:firstLine="0"/>
              <w:jc w:val="left"/>
            </w:pPr>
            <w:r>
              <w:rPr>
                <w:rFonts w:ascii="Times New Roman" w:hAnsi="Times New Roman" w:cs="Times New Roman" w:eastAsia="Times New Roman"/>
                <w:sz w:val="22"/>
              </w:rPr>
              <w:t xml:space="preserve">–</w:t>
            </w:r>
          </w:p>
        </w:tc>
        <w:tc>
          <w:tcPr/>
          <w:p>
            <w:pPr>
              <w:pStyle w:val="Compact"/>
              <w:spacing w:line="240" w:lineRule="auto"/>
              <w:ind w:firstLine="0"/>
              <w:jc w:val="left"/>
            </w:pPr>
            <w:r>
              <w:rPr>
                <w:rFonts w:ascii="Times New Roman" w:hAnsi="Times New Roman" w:cs="Times New Roman" w:eastAsia="Times New Roman"/>
                <w:sz w:val="22"/>
              </w:rPr>
              <w:t xml:space="preserve">−26,7</w:t>
            </w:r>
          </w:p>
        </w:tc>
        <w:tc>
          <w:tcPr/>
          <w:p>
            <w:pPr>
              <w:pStyle w:val="Compact"/>
              <w:spacing w:line="240" w:lineRule="auto"/>
              <w:ind w:firstLine="0"/>
              <w:jc w:val="left"/>
            </w:pPr>
            <w:r>
              <w:rPr>
                <w:rFonts w:ascii="Times New Roman" w:hAnsi="Times New Roman" w:cs="Times New Roman" w:eastAsia="Times New Roman"/>
                <w:sz w:val="22"/>
              </w:rPr>
              <w:t xml:space="preserve">−26,7</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MHXS 9 bo‘yicha qo‘shimcha 40 birlik zaxira kapitalni 26,7 foizga kamaytirsa-da, me’yor deyarli o‘zgarmaydi, chunki zaxira suratni ham, maxrajni ham kamaytiradi va ularning ta’siri qisman bir-birini qoplaydi. Me’yorga sezilarli salbiy ta’sir esa muammoli kreditlar ta’rifi kengayib, 60 birlik kredit muammoli toifaga o‘tkazilganda yuzaga keladi va u 1,1 foiz punktga pasayadi.</w:t>
      </w:r>
    </w:p>
    <w:p>
      <w:pPr>
        <w:pStyle w:val="BodyText"/>
        <w:spacing w:line="360" w:lineRule="auto" w:before="0" w:after="0"/>
        <w:ind w:firstLine="709"/>
        <w:jc w:val="both"/>
      </w:pPr>
      <w:r>
        <w:rPr>
          <w:rFonts w:ascii="Times New Roman" w:hAnsi="Times New Roman" w:cs="Times New Roman" w:eastAsia="Times New Roman"/>
          <w:sz w:val="28"/>
        </w:rPr>
        <w:t xml:space="preserve">Natijada quyidagi xulosaga kelish mumkin: milliy hisobot va MHXS 9 o‘rtasidagi farq sof barqaror moliyalashtirish me’yorini hisoblash usulida emas, balki unga kiritiladigan ma’lumotlarda namoyon bo‘ladi. Bu farq kapital yetarliligiga kuchli, sof barqaror moliyalashtirish me’yoriga esa ancha zaif ta’sir qiladi va unga asosiy ta’sir muammoli kreditlar tasnifi orqali o‘tadi. Shu sababli moliyaviy barqarorlikni integral baholashda milliy hisobot va MHXS ma’lumotlari o‘rtasidagi tafovut, eng avvalo, kapital va aktivlar sifati bloklarida, likvidlik blokida esa kamroq darajada hisobga olinishi lozim. O‘zbekistonda «yo‘l xaritasi»ga muvofiq aktivlarni tasniflash va zaxiralarni MHXS 9 ga moslashtirish 2026-yilning ikkinchi choragida yakunlanishi rejalashtirilgan bo‘lib</w:t>
      </w:r>
      <w:r>
        <w:rPr>
          <w:rStyle w:val="FootnoteReference"/>
        </w:rPr>
        <w:footnoteReference w:id="33"/>
      </w:r>
      <w:r>
        <w:rPr>
          <w:rFonts w:ascii="Times New Roman" w:hAnsi="Times New Roman" w:cs="Times New Roman" w:eastAsia="Times New Roman"/>
          <w:sz w:val="28"/>
        </w:rPr>
        <w:t xml:space="preserve">, shundan so‘ng me’yorni hisoblashdagi muammoli kreditlar va zaxiralar ham MHXS 9 mantig‘iga yaqinlashadi. N.E. Sokolinskaya keltirgan misol bu farqning amaliy ko‘lamini yaqqol ko‘rsatadi: bir bank 2015-yilda milliy hisobotda 63,7 mlrd rubl zarar, MHXS bo‘yicha esa 4,35 mlrd rubl foyda ko‘rsatgan, MHXS 9 ga o‘tilganda esa zaxiralar kreditlarning 19,1 foiziga yetishi mumkin</w:t>
      </w:r>
      <w:r>
        <w:rPr>
          <w:rStyle w:val="FootnoteReference"/>
        </w:rPr>
        <w:footnoteReference w:id="34"/>
      </w:r>
      <w:r>
        <w:rPr>
          <w:rFonts w:ascii="Times New Roman" w:hAnsi="Times New Roman" w:cs="Times New Roman" w:eastAsia="Times New Roman"/>
          <w:sz w:val="28"/>
        </w:rPr>
        <w:t xml:space="preserve">.</w:t>
      </w:r>
    </w:p>
    <w:bookmarkEnd w:id="35"/>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Basel Committee on Banking Supervision. Basel III: International framework for liquidity risk measurement, standards and monitoring. – Basel: Bank for International Settlements, December 2010.</w:t>
      </w:r>
    </w:p>
  </w:footnote>
  <w:footnote w:id="21">
    <w:p>
      <w:pPr>
        <w:pStyle w:val="FootnoteText"/>
      </w:pPr>
      <w:r>
        <w:rPr>
          <w:rStyle w:val="FootnoteReference"/>
        </w:rPr>
        <w:footnoteRef/>
      </w:r>
      <w:r>
        <w:t xml:space="preserve"> </w:t>
      </w:r>
      <w:r>
        <w:t xml:space="preserve">Basel Committee on Banking Supervision. Basel III: the net stable funding ratio. – Basel: Bank for International Settlements, October 2014.</w:t>
      </w:r>
    </w:p>
  </w:footnote>
  <w:footnote w:id="22">
    <w:p>
      <w:pPr>
        <w:pStyle w:val="FootnoteText"/>
      </w:pPr>
      <w:r>
        <w:rPr>
          <w:rStyle w:val="FootnoteReference"/>
        </w:rPr>
        <w:footnoteRef/>
      </w:r>
      <w:r>
        <w:t xml:space="preserve"> </w:t>
      </w:r>
      <w:r>
        <w:t xml:space="preserve">Tadqiqot natijasida muallif tomonidan quyidagi manba asosida ishlab chiqildi: Basel Committee on Banking Supervision. Basel III: the net stable funding ratio. – Basel: Bank for International Settlements, October 2014.</w:t>
      </w:r>
    </w:p>
  </w:footnote>
  <w:footnote w:id="23">
    <w:p>
      <w:pPr>
        <w:pStyle w:val="FootnoteText"/>
      </w:pPr>
      <w:r>
        <w:rPr>
          <w:rStyle w:val="FootnoteReference"/>
        </w:rPr>
        <w:footnoteRef/>
      </w:r>
      <w:r>
        <w:t xml:space="preserve"> </w:t>
      </w:r>
      <w:r>
        <w:t xml:space="preserve">Tadqiqot natijasida muallif tomonidan ishlab chiqildi.</w:t>
      </w:r>
    </w:p>
  </w:footnote>
  <w:footnote w:id="24">
    <w:p>
      <w:pPr>
        <w:pStyle w:val="FootnoteText"/>
      </w:pPr>
      <w:r>
        <w:rPr>
          <w:rStyle w:val="FootnoteReference"/>
        </w:rPr>
        <w:footnoteRef/>
      </w:r>
      <w:r>
        <w:t xml:space="preserve"> </w:t>
      </w:r>
      <w:r>
        <w:t xml:space="preserve">Положение Банка России от 26.07.2017 № 596-П «О порядке расчета системно значимыми кредитными организациями норматива структурной ликвидности (норматива чистого стабильного фондирования) («Базель III»)».</w:t>
      </w:r>
    </w:p>
  </w:footnote>
  <w:footnote w:id="25">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w:t>
      </w:r>
    </w:p>
  </w:footnote>
  <w:footnote w:id="26">
    <w:p>
      <w:pPr>
        <w:pStyle w:val="FootnoteText"/>
      </w:pPr>
      <w:r>
        <w:rPr>
          <w:rStyle w:val="FootnoteReference"/>
        </w:rPr>
        <w:footnoteRef/>
      </w:r>
      <w:r>
        <w:t xml:space="preserve"> </w:t>
      </w:r>
      <w:r>
        <w:t xml:space="preserve">Regulation (EU) 2019/876 of the European Parliament and of the Council of 20 May 2019 amending Regulation (EU) No 575/2013 as regards the leverage ratio, the net stable funding ratio, requirements for own funds and eligible liabilities… // Official Journal of the European Union. – 2019. – 7 June.</w:t>
      </w:r>
    </w:p>
  </w:footnote>
  <w:footnote w:id="27">
    <w:p>
      <w:pPr>
        <w:pStyle w:val="FootnoteText"/>
      </w:pPr>
      <w:r>
        <w:rPr>
          <w:rStyle w:val="FootnoteReference"/>
        </w:rPr>
        <w:footnoteRef/>
      </w:r>
      <w:r>
        <w:t xml:space="preserve"> </w:t>
      </w:r>
      <w:r>
        <w:t xml:space="preserve">Office of the Comptroller of the Currency, Board of Governors of the Federal Reserve System, Federal Deposit Insurance Corporation. Net Stable Funding Ratio: Liquidity Risk Measurement Standards and Disclosure Requirements: final rule // Federal Register. – 2021. – 11 February.</w:t>
      </w:r>
    </w:p>
  </w:footnote>
  <w:footnote w:id="28">
    <w:p>
      <w:pPr>
        <w:pStyle w:val="FootnoteText"/>
      </w:pPr>
      <w:r>
        <w:rPr>
          <w:rStyle w:val="FootnoteReference"/>
        </w:rPr>
        <w:footnoteRef/>
      </w:r>
      <w:r>
        <w:t xml:space="preserve"> </w:t>
      </w:r>
      <w:r>
        <w:t xml:space="preserve">Tadqiqot natijasida muallif tomonidan quyidagi manbalar asosida ishlab chiqildi: Basel Committee on Banking Supervision. Basel III: the net stable funding ratio. – Basel: BIS, 2014; Положение Банка России от 26.07.2017 № 596-П; O‘zbekiston Respublikasi Markaziy banki «Tijorat banklarining likvidliligini boshqarishga qo‘yiladigan talablar to‘g‘risida»gi nizom (ro‘yxat raqami 2709); Regulation (EU) 2019/876; Net Stable Funding Ratio: final rule // Federal Register. – 2021. – 11 February.</w:t>
      </w:r>
    </w:p>
  </w:footnote>
  <w:footnote w:id="29">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30">
    <w:p>
      <w:pPr>
        <w:pStyle w:val="FootnoteText"/>
      </w:pPr>
      <w:r>
        <w:rPr>
          <w:rStyle w:val="FootnoteReference"/>
        </w:rPr>
        <w:footnoteRef/>
      </w:r>
      <w:r>
        <w:t xml:space="preserve"> </w:t>
      </w:r>
      <w:r>
        <w:t xml:space="preserve">Sharipova N.H. Tijorat banklari moliyaviy barqarorligini mustahkamlashning konseptual asoslarini takomillashtirish: iqtisodiyot fanlari doktori (DSc) dissertatsiyasi avtoreferati. – Toshkent, 2026. – B. 12.</w:t>
      </w:r>
    </w:p>
  </w:footnote>
  <w:footnote w:id="31">
    <w:p>
      <w:pPr>
        <w:pStyle w:val="FootnoteText"/>
      </w:pPr>
      <w:r>
        <w:rPr>
          <w:rStyle w:val="FootnoteReference"/>
        </w:rPr>
        <w:footnoteRef/>
      </w:r>
      <w:r>
        <w:t xml:space="preserve"> </w:t>
      </w:r>
      <w:r>
        <w:t xml:space="preserve">Berdiyarov B.T. O‘zbekiston Respublikasi tijorat banklarining likvidliligi va to‘lov qobiliyatini ta’minlash masalalari: monografiya. – T.: Bank-moliya akademiyasi, 2020. – B. 27.</w:t>
      </w:r>
    </w:p>
  </w:footnote>
  <w:footnote w:id="32">
    <w:p>
      <w:pPr>
        <w:pStyle w:val="FootnoteText"/>
      </w:pPr>
      <w:r>
        <w:rPr>
          <w:rStyle w:val="FootnoteReference"/>
        </w:rPr>
        <w:footnoteRef/>
      </w:r>
      <w:r>
        <w:t xml:space="preserve"> </w:t>
      </w:r>
      <w:r>
        <w:t xml:space="preserve">Tadqiqot natijasida muallif tomonidan shartli ma’lumotlar asosida ishlab chiqildi.</w:t>
      </w:r>
    </w:p>
  </w:footnote>
  <w:footnote w:id="33">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34">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МСФО. – М.: КНОРУС. – С. 85–87, 108.</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2026-10-10T18:06:36Z</dcterms:created>
  <dcterms:modified xsi:type="dcterms:W3CDTF">2026-10-10T18:06:36Z</dcterms:modified>
</cp:coreProperties>
</file>

<file path=docProps/custom.xml><?xml version="1.0" encoding="utf-8"?>
<Properties xmlns="http://schemas.openxmlformats.org/officeDocument/2006/custom-properties" xmlns:vt="http://schemas.openxmlformats.org/officeDocument/2006/docPropsVTypes"/>
</file>