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eaccb3b501770b38600deeb86629891bf9ba72"/>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Markaziy bankning likvidlik talablari va Bazel III standartlarining qiyosiy tahlili</w:t>
      </w:r>
    </w:p>
    <w:p>
      <w:pPr>
        <w:pStyle w:val="FirstParagraph"/>
        <w:spacing w:line="360" w:lineRule="auto" w:before="0" w:after="0"/>
        <w:ind w:firstLine="709"/>
        <w:jc w:val="both"/>
      </w:pPr>
      <w:r>
        <w:rPr>
          <w:rFonts w:ascii="Times New Roman" w:hAnsi="Times New Roman" w:cs="Times New Roman" w:eastAsia="Times New Roman"/>
          <w:sz w:val="28"/>
        </w:rPr>
        <w:t xml:space="preserve">O‘zbekistonda tijorat banklarining likvidligiga qo‘yiladigan talablar Markaziy bankning 2015-yilda qabul qilingan 2709-son nizomi bilan belgilangan</w:t>
      </w:r>
      <w:r>
        <w:rPr>
          <w:rStyle w:val="FootnoteReference"/>
        </w:rPr>
        <w:footnoteReference w:id="20"/>
      </w:r>
      <w:r>
        <w:rPr>
          <w:rFonts w:ascii="Times New Roman" w:hAnsi="Times New Roman" w:cs="Times New Roman" w:eastAsia="Times New Roman"/>
          <w:sz w:val="28"/>
        </w:rPr>
        <w:t xml:space="preserve">. Ushbu nizom Bazel III ning likvidlik standartlarini milliy amaliyotga joriy etish maqsadida ishlab chiqilgan bo‘lib, uning tuzilmasi Bazel qo‘mitasining uchta hujjatiga mos keladi: likvidlik riskini boshqarish va nazorat qilish tamoyillari</w:t>
      </w:r>
      <w:r>
        <w:rPr>
          <w:rStyle w:val="FootnoteReference"/>
        </w:rPr>
        <w:footnoteReference w:id="21"/>
      </w:r>
      <w:r>
        <w:rPr>
          <w:rFonts w:ascii="Times New Roman" w:hAnsi="Times New Roman" w:cs="Times New Roman" w:eastAsia="Times New Roman"/>
          <w:sz w:val="28"/>
        </w:rPr>
        <w:t xml:space="preserve">, likvidlikni qoplash koeffitsiyenti standarti</w:t>
      </w:r>
      <w:r>
        <w:rPr>
          <w:rStyle w:val="FootnoteReference"/>
        </w:rPr>
        <w:footnoteReference w:id="22"/>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 sof barqaror moliyalashtirish me’yori standarti</w:t>
      </w:r>
      <w:r>
        <w:rPr>
          <w:rStyle w:val="FootnoteReference"/>
        </w:rPr>
        <w:footnoteReference w:id="23"/>
      </w:r>
      <w:r>
        <w:rPr>
          <w:rFonts w:ascii="Times New Roman" w:hAnsi="Times New Roman" w:cs="Times New Roman" w:eastAsia="Times New Roman"/>
          <w:sz w:val="28"/>
        </w:rPr>
        <w:t xml:space="preserve">. Biroq nizomni ushbu hujjatlar bilan batafsil solishtirish ular o‘rtasida muhim farqlar mavjudligini ko‘rsatadi. Tahlilda nizomning 2015-yil 17-avgust holatidagi matni hamda «O‘zsanoatqurilishbank» ATB ning 2025-yil 30-dekabr holatidagi likvidlik tahlili shakli asos qilib olindi</w:t>
      </w:r>
      <w:r>
        <w:rPr>
          <w:rStyle w:val="FootnoteReference"/>
        </w:rPr>
        <w:footnoteReference w:id="24"/>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Avvalo ta’kidlash lozimki, nizomning sifat talablariga oid boblari Bazel qo‘mitasining 2008-yilgi tamoyillariga yaqin. Nizomda likvidlikni boshqarish strategiyasi, axborot tizimi va hisobotlar, moliyalashtirish manbalarini diversifikatsiya qilish, banklararo bozor va REPO operatsiyalari, stress-testlar hamda kutilmagan holatlarda moliyalashtirish rejasi bo‘yicha talablar belgilangan. Xususan, banklar likvidlik holatini har chorakda kamida bir marta stress-testdan o‘tkazishi va natijalar bo‘yicha Markaziy bankka ma’lumot taqdim etishi shart. Bu Bazel tamoyillarining talablariga mos keladi. Asosiy farqlar esa miqdoriy me’yorlarda, ya’ni likvidlikni qoplash koeffitsiyenti va sof barqaror moliyalashtirish me’yorini hisoblash tartibida namoyon bo‘ladi (1-jadval).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Likvidlikni qoplash koeffitsiyenti: Markaziy bank nizomi va Bazel III</w:t>
      </w:r>
      <w:r>
        <w:rPr>
          <w:rStyle w:val="FootnoteReference"/>
        </w:rPr>
        <w:footnoteReference w:id="25"/>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Belgi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Markaziy bank nizomi (2709-son)</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Bazel III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Formula</w:t>
            </w:r>
          </w:p>
        </w:tc>
        <w:tc>
          <w:tcPr/>
          <w:p>
            <w:pPr>
              <w:pStyle w:val="Compact"/>
              <w:spacing w:line="240" w:lineRule="auto"/>
              <w:ind w:firstLine="0"/>
              <w:jc w:val="left"/>
            </w:pPr>
            <w:r>
              <w:rPr>
                <w:rFonts w:ascii="Times New Roman" w:hAnsi="Times New Roman" w:cs="Times New Roman" w:eastAsia="Times New Roman"/>
                <w:sz w:val="22"/>
              </w:rPr>
              <w:t xml:space="preserve">Yuqori likvid aktivlar / keyingi 30 kundagi sof chiqim</w:t>
            </w:r>
          </w:p>
        </w:tc>
        <w:tc>
          <w:tcPr/>
          <w:p>
            <w:pPr>
              <w:pStyle w:val="Compact"/>
              <w:spacing w:line="240" w:lineRule="auto"/>
              <w:ind w:firstLine="0"/>
              <w:jc w:val="left"/>
            </w:pPr>
            <w:r>
              <w:rPr>
                <w:rFonts w:ascii="Times New Roman" w:hAnsi="Times New Roman" w:cs="Times New Roman" w:eastAsia="Times New Roman"/>
                <w:sz w:val="22"/>
              </w:rPr>
              <w:t xml:space="preserve">Xuddi shunday</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Minimal talab va joriy etish</w:t>
            </w:r>
          </w:p>
        </w:tc>
        <w:tc>
          <w:tcPr/>
          <w:p>
            <w:pPr>
              <w:pStyle w:val="Compact"/>
              <w:spacing w:line="240" w:lineRule="auto"/>
              <w:ind w:firstLine="0"/>
              <w:jc w:val="left"/>
            </w:pPr>
            <w:r>
              <w:rPr>
                <w:rFonts w:ascii="Times New Roman" w:hAnsi="Times New Roman" w:cs="Times New Roman" w:eastAsia="Times New Roman"/>
                <w:sz w:val="22"/>
              </w:rPr>
              <w:t xml:space="preserve">2016-y. 80%, 2017-y. 90%, 2018-y. 100%</w:t>
            </w:r>
          </w:p>
        </w:tc>
        <w:tc>
          <w:tcPr/>
          <w:p>
            <w:pPr>
              <w:pStyle w:val="Compact"/>
              <w:spacing w:line="240" w:lineRule="auto"/>
              <w:ind w:firstLine="0"/>
              <w:jc w:val="left"/>
            </w:pPr>
            <w:r>
              <w:rPr>
                <w:rFonts w:ascii="Times New Roman" w:hAnsi="Times New Roman" w:cs="Times New Roman" w:eastAsia="Times New Roman"/>
                <w:sz w:val="22"/>
              </w:rPr>
              <w:t xml:space="preserve">2015-y. 60%, har yili +10 p.p., 2019-y. 100%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Kirimlar chegarasi</w:t>
            </w:r>
          </w:p>
        </w:tc>
        <w:tc>
          <w:tcPr/>
          <w:p>
            <w:pPr>
              <w:pStyle w:val="Compact"/>
              <w:spacing w:line="240" w:lineRule="auto"/>
              <w:ind w:firstLine="0"/>
              <w:jc w:val="left"/>
            </w:pPr>
            <w:r>
              <w:rPr>
                <w:rFonts w:ascii="Times New Roman" w:hAnsi="Times New Roman" w:cs="Times New Roman" w:eastAsia="Times New Roman"/>
                <w:sz w:val="22"/>
              </w:rPr>
              <w:t xml:space="preserve">Chiqimning 75 foizi</w:t>
            </w:r>
          </w:p>
        </w:tc>
        <w:tc>
          <w:tcPr/>
          <w:p>
            <w:pPr>
              <w:pStyle w:val="Compact"/>
              <w:spacing w:line="240" w:lineRule="auto"/>
              <w:ind w:firstLine="0"/>
              <w:jc w:val="left"/>
            </w:pPr>
            <w:r>
              <w:rPr>
                <w:rFonts w:ascii="Times New Roman" w:hAnsi="Times New Roman" w:cs="Times New Roman" w:eastAsia="Times New Roman"/>
                <w:sz w:val="22"/>
              </w:rPr>
              <w:t xml:space="preserve">Chiqimning 75 foizi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Yuqori likvid aktivlar tarkibi</w:t>
            </w:r>
          </w:p>
        </w:tc>
        <w:tc>
          <w:tcPr/>
          <w:p>
            <w:pPr>
              <w:pStyle w:val="Compact"/>
              <w:spacing w:line="240" w:lineRule="auto"/>
              <w:ind w:firstLine="0"/>
              <w:jc w:val="left"/>
            </w:pPr>
            <w:r>
              <w:rPr>
                <w:rFonts w:ascii="Times New Roman" w:hAnsi="Times New Roman" w:cs="Times New Roman" w:eastAsia="Times New Roman"/>
                <w:sz w:val="22"/>
              </w:rPr>
              <w:t xml:space="preserve">Naqd pul, Markaziy bankdagi mablag‘lar, davlat qimmatli qog‘ozlari, shuningdek, reytingli banklardagi vakillik hisobvaraqlari va overnayt depozitlar</w:t>
            </w:r>
          </w:p>
        </w:tc>
        <w:tc>
          <w:tcPr/>
          <w:p>
            <w:pPr>
              <w:pStyle w:val="Compact"/>
              <w:spacing w:line="240" w:lineRule="auto"/>
              <w:ind w:firstLine="0"/>
              <w:jc w:val="left"/>
            </w:pPr>
            <w:r>
              <w:rPr>
                <w:rFonts w:ascii="Times New Roman" w:hAnsi="Times New Roman" w:cs="Times New Roman" w:eastAsia="Times New Roman"/>
                <w:sz w:val="22"/>
              </w:rPr>
              <w:t xml:space="preserve">Naqd pul, markaziy bankdagi zaxiralar, 0% risk vaznli suveren qog‘ozlar (1-daraja), boshqa yuqori sifatli qog‘ozlar (2A, 2B darajalar); boshqa banklardagi depozitlar kirmaydi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Aktivlar sifatiga qarab chegirma</w:t>
            </w:r>
          </w:p>
        </w:tc>
        <w:tc>
          <w:tcPr/>
          <w:p>
            <w:pPr>
              <w:pStyle w:val="Compact"/>
              <w:spacing w:line="240" w:lineRule="auto"/>
              <w:ind w:firstLine="0"/>
              <w:jc w:val="left"/>
            </w:pPr>
            <w:r>
              <w:rPr>
                <w:rFonts w:ascii="Times New Roman" w:hAnsi="Times New Roman" w:cs="Times New Roman" w:eastAsia="Times New Roman"/>
                <w:sz w:val="22"/>
              </w:rPr>
              <w:t xml:space="preserve">Faqat ipotekani qayta moliyalashtirish obligatsiyalari uchun (80% hisobga olinadi)</w:t>
            </w:r>
          </w:p>
        </w:tc>
        <w:tc>
          <w:tcPr/>
          <w:p>
            <w:pPr>
              <w:pStyle w:val="Compact"/>
              <w:spacing w:line="240" w:lineRule="auto"/>
              <w:ind w:firstLine="0"/>
              <w:jc w:val="left"/>
            </w:pPr>
            <w:r>
              <w:rPr>
                <w:rFonts w:ascii="Times New Roman" w:hAnsi="Times New Roman" w:cs="Times New Roman" w:eastAsia="Times New Roman"/>
                <w:sz w:val="22"/>
              </w:rPr>
              <w:t xml:space="preserve">2A daraja – 15%, 2B daraja – 25–50% chegirma; 2-daraja jami aktivlarning 40%, 2B – 15% dan oshmasligi kerak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Chiqim koeffitsiyentlari</w:t>
            </w:r>
          </w:p>
        </w:tc>
        <w:tc>
          <w:tcPr/>
          <w:p>
            <w:pPr>
              <w:pStyle w:val="Compact"/>
              <w:spacing w:line="240" w:lineRule="auto"/>
              <w:ind w:firstLine="0"/>
              <w:jc w:val="left"/>
            </w:pPr>
            <w:r>
              <w:rPr>
                <w:rFonts w:ascii="Times New Roman" w:hAnsi="Times New Roman" w:cs="Times New Roman" w:eastAsia="Times New Roman"/>
                <w:sz w:val="22"/>
              </w:rPr>
              <w:t xml:space="preserve">Markaziy bank tomonidan majburiyat turi va muddatiga qarab belgilanadi; bank shaklida barcha depozitlarga yagona taxminan 15% koeffitsiyent</w:t>
            </w:r>
          </w:p>
        </w:tc>
        <w:tc>
          <w:tcPr/>
          <w:p>
            <w:pPr>
              <w:pStyle w:val="Compact"/>
              <w:spacing w:line="240" w:lineRule="auto"/>
              <w:ind w:firstLine="0"/>
              <w:jc w:val="left"/>
            </w:pPr>
            <w:r>
              <w:rPr>
                <w:rFonts w:ascii="Times New Roman" w:hAnsi="Times New Roman" w:cs="Times New Roman" w:eastAsia="Times New Roman"/>
                <w:sz w:val="22"/>
              </w:rPr>
              <w:t xml:space="preserve">Kontragentga qarab: barqaror chakana depozitlar 3–5%, kamroq barqarorlari 10%, operatsion depozitlar 25%, korxonalar 40%, moliya institutlari 100%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Valyutalar bo‘yicha</w:t>
            </w:r>
          </w:p>
        </w:tc>
        <w:tc>
          <w:tcPr/>
          <w:p>
            <w:pPr>
              <w:pStyle w:val="Compact"/>
              <w:spacing w:line="240" w:lineRule="auto"/>
              <w:ind w:firstLine="0"/>
              <w:jc w:val="left"/>
            </w:pPr>
            <w:r>
              <w:rPr>
                <w:rFonts w:ascii="Times New Roman" w:hAnsi="Times New Roman" w:cs="Times New Roman" w:eastAsia="Times New Roman"/>
                <w:sz w:val="22"/>
              </w:rPr>
              <w:t xml:space="preserve">Shaklda milliy va xorijiy valyutada alohida hisoblanadi</w:t>
            </w:r>
          </w:p>
        </w:tc>
        <w:tc>
          <w:tcPr/>
          <w:p>
            <w:pPr>
              <w:pStyle w:val="Compact"/>
              <w:spacing w:line="240" w:lineRule="auto"/>
              <w:ind w:firstLine="0"/>
              <w:jc w:val="left"/>
            </w:pPr>
            <w:r>
              <w:rPr>
                <w:rFonts w:ascii="Times New Roman" w:hAnsi="Times New Roman" w:cs="Times New Roman" w:eastAsia="Times New Roman"/>
                <w:sz w:val="22"/>
              </w:rPr>
              <w:t xml:space="preserve">Muhim valyutalar bo‘yicha monitoring vositasi sifatida</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Oshkor qilish</w:t>
            </w:r>
          </w:p>
        </w:tc>
        <w:tc>
          <w:tcPr/>
          <w:p>
            <w:pPr>
              <w:pStyle w:val="Compact"/>
              <w:spacing w:line="240" w:lineRule="auto"/>
              <w:ind w:firstLine="0"/>
              <w:jc w:val="left"/>
            </w:pPr>
            <w:r>
              <w:rPr>
                <w:rFonts w:ascii="Times New Roman" w:hAnsi="Times New Roman" w:cs="Times New Roman" w:eastAsia="Times New Roman"/>
                <w:sz w:val="22"/>
              </w:rPr>
              <w:t xml:space="preserve">Talab belgilanmagan</w:t>
            </w:r>
          </w:p>
        </w:tc>
        <w:tc>
          <w:tcPr/>
          <w:p>
            <w:pPr>
              <w:pStyle w:val="Compact"/>
              <w:spacing w:line="240" w:lineRule="auto"/>
              <w:ind w:firstLine="0"/>
              <w:jc w:val="left"/>
            </w:pPr>
            <w:r>
              <w:rPr>
                <w:rFonts w:ascii="Times New Roman" w:hAnsi="Times New Roman" w:cs="Times New Roman" w:eastAsia="Times New Roman"/>
                <w:sz w:val="22"/>
              </w:rPr>
              <w:t xml:space="preserve">Choraklik ommaviy oshkor qilish standarti (2014)</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koeffitsiyentning formulasi, kirimlar chegarasi va 100 foizlik yakuniy talab Bazel III bilan to‘liq mos keladi, joriy etish esa Bazel jadvalidan ham tezroq amalga oshirilgan. Ayni paytda ikki muhim farq mavjud. Birinchisi yuqori likvid aktivlar tarkibi bilan bog‘liq: milliy amaliyotda reytingli xorijiy va mahalliy banklardagi vakillik hisobvaraqlari hamda overnayt depozitlar yuqori likvid aktivlarga kiritiladi. Bazel III da esa boshqa banklardagi mablag‘lar yuqori likvid aktiv hisoblanmaydi, ular faqat 30 kun ichidagi kirim sifatida hisobga olinishi mumkin. «O‘zsanoatqurilishbank» ATB da bunday mablag‘lar 5 444,5 mlrd so‘mni, ya’ni yuqori likvid aktivlarning 30,9 foizini tashkil etadi. Ikkinchi farq chiqim koeffitsiyentlarida: milliy shaklda depozitlarga ularning egasi kimligidan qat’i nazar yagona koeffitsiyent qo‘llanadi, Bazel III da esa koeffitsiyent kontragent turiga va depozitning barqarorligiga qarab 3 foizdan 100 foizgacha farqlanadi.</w:t>
      </w:r>
    </w:p>
    <w:p>
      <w:pPr>
        <w:pStyle w:val="BodyText"/>
        <w:spacing w:line="360" w:lineRule="auto" w:before="0" w:after="0"/>
        <w:ind w:firstLine="709"/>
        <w:jc w:val="both"/>
      </w:pPr>
      <w:r>
        <w:rPr>
          <w:rFonts w:ascii="Times New Roman" w:hAnsi="Times New Roman" w:cs="Times New Roman" w:eastAsia="Times New Roman"/>
          <w:sz w:val="28"/>
        </w:rPr>
        <w:t xml:space="preserve">Sof barqaror moliyalashtirish me’yorida farqlar yanada sezilarli (2-jadval).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Sof barqaror moliyalashtirish me’yori: Markaziy bank nizomi va Bazel III</w:t>
      </w:r>
      <w:r>
        <w:rPr>
          <w:rStyle w:val="FootnoteReference"/>
        </w:rPr>
        <w:footnoteReference w:id="26"/>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Belgi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Markaziy bank nizomi (2709-son)</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Bazel III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Formula va minimal talab</w:t>
            </w:r>
          </w:p>
        </w:tc>
        <w:tc>
          <w:tcPr/>
          <w:p>
            <w:pPr>
              <w:pStyle w:val="Compact"/>
              <w:spacing w:line="240" w:lineRule="auto"/>
              <w:ind w:firstLine="0"/>
              <w:jc w:val="left"/>
            </w:pPr>
            <w:r>
              <w:rPr>
                <w:rFonts w:ascii="Times New Roman" w:hAnsi="Times New Roman" w:cs="Times New Roman" w:eastAsia="Times New Roman"/>
                <w:sz w:val="22"/>
              </w:rPr>
              <w:t xml:space="preserve">Mavjud barqaror moliyalashtirish / zarur barqaror moliyalashtirish ≥ 100%, 2018-yildan</w:t>
            </w:r>
          </w:p>
        </w:tc>
        <w:tc>
          <w:tcPr/>
          <w:p>
            <w:pPr>
              <w:pStyle w:val="Compact"/>
              <w:spacing w:line="240" w:lineRule="auto"/>
              <w:ind w:firstLine="0"/>
              <w:jc w:val="left"/>
            </w:pPr>
            <w:r>
              <w:rPr>
                <w:rFonts w:ascii="Times New Roman" w:hAnsi="Times New Roman" w:cs="Times New Roman" w:eastAsia="Times New Roman"/>
                <w:sz w:val="22"/>
              </w:rPr>
              <w:t xml:space="preserve">Xuddi shunday, 2018-yildan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w:t>
            </w:r>
          </w:p>
        </w:tc>
        <w:tc>
          <w:tcPr/>
          <w:p>
            <w:pPr>
              <w:pStyle w:val="Compact"/>
              <w:spacing w:line="240" w:lineRule="auto"/>
              <w:ind w:firstLine="0"/>
              <w:jc w:val="left"/>
            </w:pPr>
            <w:r>
              <w:rPr>
                <w:rFonts w:ascii="Times New Roman" w:hAnsi="Times New Roman" w:cs="Times New Roman" w:eastAsia="Times New Roman"/>
                <w:sz w:val="22"/>
              </w:rPr>
              <w:t xml:space="preserve">Regulyativ kapital – 100% (bank shaklida xususiy kapital)</w:t>
            </w:r>
          </w:p>
        </w:tc>
        <w:tc>
          <w:tcPr/>
          <w:p>
            <w:pPr>
              <w:pStyle w:val="Compact"/>
              <w:spacing w:line="240" w:lineRule="auto"/>
              <w:ind w:firstLine="0"/>
              <w:jc w:val="left"/>
            </w:pPr>
            <w:r>
              <w:rPr>
                <w:rFonts w:ascii="Times New Roman" w:hAnsi="Times New Roman" w:cs="Times New Roman" w:eastAsia="Times New Roman"/>
                <w:sz w:val="22"/>
              </w:rPr>
              <w:t xml:space="preserve">Regulyativ kapital – 100%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Muddati 1 yil va undan ortiq majburiyatlar</w:t>
            </w:r>
          </w:p>
        </w:tc>
        <w:tc>
          <w:tcPr/>
          <w:p>
            <w:pPr>
              <w:pStyle w:val="Compact"/>
              <w:spacing w:line="240" w:lineRule="auto"/>
              <w:ind w:firstLine="0"/>
              <w:jc w:val="left"/>
            </w:pPr>
            <w:r>
              <w:rPr>
                <w:rFonts w:ascii="Times New Roman" w:hAnsi="Times New Roman" w:cs="Times New Roman" w:eastAsia="Times New Roman"/>
                <w:sz w:val="22"/>
              </w:rPr>
              <w:t xml:space="preserve">100%</w:t>
            </w:r>
          </w:p>
        </w:tc>
        <w:tc>
          <w:tcPr/>
          <w:p>
            <w:pPr>
              <w:pStyle w:val="Compact"/>
              <w:spacing w:line="240" w:lineRule="auto"/>
              <w:ind w:firstLine="0"/>
              <w:jc w:val="left"/>
            </w:pPr>
            <w:r>
              <w:rPr>
                <w:rFonts w:ascii="Times New Roman" w:hAnsi="Times New Roman" w:cs="Times New Roman" w:eastAsia="Times New Roman"/>
                <w:sz w:val="22"/>
              </w:rPr>
              <w:t xml:space="preserve">100%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Muddatsiz va 1 yilgacha depozitlar va qarz mablag‘lari</w:t>
            </w:r>
          </w:p>
        </w:tc>
        <w:tc>
          <w:tcPr/>
          <w:p>
            <w:pPr>
              <w:pStyle w:val="Compact"/>
              <w:spacing w:line="240" w:lineRule="auto"/>
              <w:ind w:firstLine="0"/>
              <w:jc w:val="left"/>
            </w:pPr>
            <w:r>
              <w:rPr>
                <w:rFonts w:ascii="Times New Roman" w:hAnsi="Times New Roman" w:cs="Times New Roman" w:eastAsia="Times New Roman"/>
                <w:sz w:val="22"/>
              </w:rPr>
              <w:t xml:space="preserve">Kontragentdan qat’i nazar 30%</w:t>
            </w:r>
          </w:p>
        </w:tc>
        <w:tc>
          <w:tcPr/>
          <w:p>
            <w:pPr>
              <w:pStyle w:val="Compact"/>
              <w:spacing w:line="240" w:lineRule="auto"/>
              <w:ind w:firstLine="0"/>
              <w:jc w:val="left"/>
            </w:pPr>
            <w:r>
              <w:rPr>
                <w:rFonts w:ascii="Times New Roman" w:hAnsi="Times New Roman" w:cs="Times New Roman" w:eastAsia="Times New Roman"/>
                <w:sz w:val="22"/>
              </w:rPr>
              <w:t xml:space="preserve">Chakana depozitlar 90–95%, korxonalar va davlat 50%, moliya institutlari (6 oygacha) 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Muddati 1 yildan ortiq aktivlar</w:t>
            </w:r>
          </w:p>
        </w:tc>
        <w:tc>
          <w:tcPr/>
          <w:p>
            <w:pPr>
              <w:pStyle w:val="Compact"/>
              <w:spacing w:line="240" w:lineRule="auto"/>
              <w:ind w:firstLine="0"/>
              <w:jc w:val="left"/>
            </w:pPr>
            <w:r>
              <w:rPr>
                <w:rFonts w:ascii="Times New Roman" w:hAnsi="Times New Roman" w:cs="Times New Roman" w:eastAsia="Times New Roman"/>
                <w:sz w:val="22"/>
              </w:rPr>
              <w:t xml:space="preserve">Barchasi 100% (muammoli kreditlar va asosiy vositalar ham)</w:t>
            </w:r>
          </w:p>
        </w:tc>
        <w:tc>
          <w:tcPr/>
          <w:p>
            <w:pPr>
              <w:pStyle w:val="Compact"/>
              <w:spacing w:line="240" w:lineRule="auto"/>
              <w:ind w:firstLine="0"/>
              <w:jc w:val="left"/>
            </w:pPr>
            <w:r>
              <w:rPr>
                <w:rFonts w:ascii="Times New Roman" w:hAnsi="Times New Roman" w:cs="Times New Roman" w:eastAsia="Times New Roman"/>
                <w:sz w:val="22"/>
              </w:rPr>
              <w:t xml:space="preserve">Ishlaydigan kreditlar 65–85%, 1-daraja likvid aktivlar 5%, muammoli kreditlar va asosiy vositalar 100%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Muddati 1 yilgacha aktivlar</w:t>
            </w:r>
          </w:p>
        </w:tc>
        <w:tc>
          <w:tcPr/>
          <w:p>
            <w:pPr>
              <w:pStyle w:val="Compact"/>
              <w:spacing w:line="240" w:lineRule="auto"/>
              <w:ind w:firstLine="0"/>
              <w:jc w:val="left"/>
            </w:pPr>
            <w:r>
              <w:rPr>
                <w:rFonts w:ascii="Times New Roman" w:hAnsi="Times New Roman" w:cs="Times New Roman" w:eastAsia="Times New Roman"/>
                <w:sz w:val="22"/>
              </w:rPr>
              <w:t xml:space="preserve">30% (likvid aktivlar bundan mustasno)</w:t>
            </w:r>
          </w:p>
        </w:tc>
        <w:tc>
          <w:tcPr/>
          <w:p>
            <w:pPr>
              <w:pStyle w:val="Compact"/>
              <w:spacing w:line="240" w:lineRule="auto"/>
              <w:ind w:firstLine="0"/>
              <w:jc w:val="left"/>
            </w:pPr>
            <w:r>
              <w:rPr>
                <w:rFonts w:ascii="Times New Roman" w:hAnsi="Times New Roman" w:cs="Times New Roman" w:eastAsia="Times New Roman"/>
                <w:sz w:val="22"/>
              </w:rPr>
              <w:t xml:space="preserve">Kreditlar 50%, banklarga 6 oygacha 10–15%, 1-daraja likvid aktivlar 5%, naqd pul 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Sud jarayonidagi aktivlar</w:t>
            </w:r>
          </w:p>
        </w:tc>
        <w:tc>
          <w:tcPr/>
          <w:p>
            <w:pPr>
              <w:pStyle w:val="Compact"/>
              <w:spacing w:line="240" w:lineRule="auto"/>
              <w:ind w:firstLine="0"/>
              <w:jc w:val="left"/>
            </w:pPr>
            <w:r>
              <w:rPr>
                <w:rFonts w:ascii="Times New Roman" w:hAnsi="Times New Roman" w:cs="Times New Roman" w:eastAsia="Times New Roman"/>
                <w:sz w:val="22"/>
              </w:rPr>
              <w:t xml:space="preserve">100%</w:t>
            </w:r>
          </w:p>
        </w:tc>
        <w:tc>
          <w:tcPr/>
          <w:p>
            <w:pPr>
              <w:pStyle w:val="Compact"/>
              <w:spacing w:line="240" w:lineRule="auto"/>
              <w:ind w:firstLine="0"/>
              <w:jc w:val="left"/>
            </w:pPr>
            <w:r>
              <w:rPr>
                <w:rFonts w:ascii="Times New Roman" w:hAnsi="Times New Roman" w:cs="Times New Roman" w:eastAsia="Times New Roman"/>
                <w:sz w:val="22"/>
              </w:rPr>
              <w:t xml:space="preserve">100%</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Balansdan tashqari majburiyatlar</w:t>
            </w:r>
          </w:p>
        </w:tc>
        <w:tc>
          <w:tcPr/>
          <w:p>
            <w:pPr>
              <w:pStyle w:val="Compact"/>
              <w:spacing w:line="240" w:lineRule="auto"/>
              <w:ind w:firstLine="0"/>
              <w:jc w:val="left"/>
            </w:pPr>
            <w:r>
              <w:rPr>
                <w:rFonts w:ascii="Times New Roman" w:hAnsi="Times New Roman" w:cs="Times New Roman" w:eastAsia="Times New Roman"/>
                <w:sz w:val="22"/>
              </w:rPr>
              <w:t xml:space="preserve">15%</w:t>
            </w:r>
          </w:p>
        </w:tc>
        <w:tc>
          <w:tcPr/>
          <w:p>
            <w:pPr>
              <w:pStyle w:val="Compact"/>
              <w:spacing w:line="240" w:lineRule="auto"/>
              <w:ind w:firstLine="0"/>
              <w:jc w:val="left"/>
            </w:pPr>
            <w:r>
              <w:rPr>
                <w:rFonts w:ascii="Times New Roman" w:hAnsi="Times New Roman" w:cs="Times New Roman" w:eastAsia="Times New Roman"/>
                <w:sz w:val="22"/>
              </w:rPr>
              <w:t xml:space="preserve">Milliy nazorat organi belgilaydi (odatda 5%)</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Oshkor qilish</w:t>
            </w:r>
          </w:p>
        </w:tc>
        <w:tc>
          <w:tcPr/>
          <w:p>
            <w:pPr>
              <w:pStyle w:val="Compact"/>
              <w:spacing w:line="240" w:lineRule="auto"/>
              <w:ind w:firstLine="0"/>
              <w:jc w:val="left"/>
            </w:pPr>
            <w:r>
              <w:rPr>
                <w:rFonts w:ascii="Times New Roman" w:hAnsi="Times New Roman" w:cs="Times New Roman" w:eastAsia="Times New Roman"/>
                <w:sz w:val="22"/>
              </w:rPr>
              <w:t xml:space="preserve">Talab belgilanmagan</w:t>
            </w:r>
          </w:p>
        </w:tc>
        <w:tc>
          <w:tcPr/>
          <w:p>
            <w:pPr>
              <w:pStyle w:val="Compact"/>
              <w:spacing w:line="240" w:lineRule="auto"/>
              <w:ind w:firstLine="0"/>
              <w:jc w:val="left"/>
            </w:pPr>
            <w:r>
              <w:rPr>
                <w:rFonts w:ascii="Times New Roman" w:hAnsi="Times New Roman" w:cs="Times New Roman" w:eastAsia="Times New Roman"/>
                <w:sz w:val="22"/>
              </w:rPr>
              <w:t xml:space="preserve">Oshkor qilish standarti (2015)</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milliy me’yor Bazel III ning formulasi va 100 foizlik talabini to‘liq qabul qilgan, ammo koeffitsiyentlar tizimini keskin soddalashtirgan. Bazel III da resurslar va aktivlar o‘nlab toifalarga ajratilib, har biriga barqarorlik darajasiga qarab alohida koeffitsiyent belgilangan bo‘lsa, nizomda faqat ikkita oraliq koeffitsiyent – 30 va 15 foiz qo‘llanadi. Bu soddalik hisob-kitobni osonlashtirsa-da, me’yorning iqtisodiy mazmunini qisman yo‘qotadi: aholi depozitlariga tayanadigan bank bilan qisqa muddatli banklararo resurslarga tayanadigan bank bir xil baholanadi. «O‘zsanoatqurilishbank» ATB misolida bu ikki metodika o‘rtasidagi farq 5,4 foiz punktni tashkil etdi: me’yor milliy metodika bo‘yicha 122,2 foiz, Bazel III metodikasi bo‘yicha esa 127,6 foiz.</w:t>
      </w:r>
    </w:p>
    <w:p>
      <w:pPr>
        <w:pStyle w:val="BodyText"/>
        <w:spacing w:line="360" w:lineRule="auto" w:before="0" w:after="0"/>
        <w:ind w:firstLine="709"/>
        <w:jc w:val="both"/>
      </w:pPr>
      <w:r>
        <w:rPr>
          <w:rFonts w:ascii="Times New Roman" w:hAnsi="Times New Roman" w:cs="Times New Roman" w:eastAsia="Times New Roman"/>
          <w:sz w:val="28"/>
        </w:rPr>
        <w:t xml:space="preserve">Bundan tashqari, nizomda Bazel III da nazarda tutilmagan milliy me’yorlar ham mavjud. Masalan, joriy likvidlik koeffitsiyenti, ya’ni 30 kungacha bo‘lgan likvid aktivlarning 30 kungacha bo‘lgan majburiyatlarga nisbati kamida 30 foiz bo‘lishi talab qilinadi. Nizomda kreditlarning depozitlarga nisbati 80 foizdan oshishi muammo belgisi sifatida ko‘rsatilgan, garovga qo‘yilgan qimmatli qog‘ozlar ulushi va moliyalashtirish manbalarining konsentratsiyasini kuzatish ham talab qilingan. Bu ko‘rsatkichlar Bazel III dagi likvidlik riskini monitoring qilish vositalariga yaqin bo‘lib, milliy tizimning afzalligi hisoblanadi.</w:t>
      </w:r>
    </w:p>
    <w:p>
      <w:pPr>
        <w:pStyle w:val="BodyText"/>
        <w:spacing w:line="360" w:lineRule="auto" w:before="0" w:after="0"/>
        <w:ind w:firstLine="709"/>
        <w:jc w:val="both"/>
      </w:pPr>
      <w:r>
        <w:rPr>
          <w:rFonts w:ascii="Times New Roman" w:hAnsi="Times New Roman" w:cs="Times New Roman" w:eastAsia="Times New Roman"/>
          <w:sz w:val="28"/>
        </w:rPr>
        <w:t xml:space="preserve">Natijada quyidagi xulosaga kelish mumkin. Markaziy bankning 2709-son nizomi Bazel III ning likvidlik standartlarini tarkibiy jihatdan to‘liq, ya’ni sifat talablari, ikki asosiy koeffitsiyent va ularning 100 foizlik darajasi bilan qabul qilgan. Biroq koeffitsiyentlarni hisoblash tartibi Bazel III ga nisbatan soddalashtirilgan. Asosiy tafovutlar quyidagilardan iborat: banklardagi mablag‘larning yuqori likvid aktivlarga kiritilishi, chiqim va barqarorlik koeffitsiyentlarining kontragent turiga qarab farqlanmasligi, sof barqaror moliyalashtirish me’yorida yagona 30 foizlik koeffitsiyent qo‘llanishi va ommaviy oshkor qilish talabining yo‘qligi. XVJ va Jahon bankining moliya sektorini baholash dasturi asosida qabul qilingan «yo‘l xaritasi»da likvidlik koeffitsiyentlarining elementlarini Bazel III ga to‘liq moslashtirish vazifasi aynan shu tafovutlarni bartaraf etishga qaratilgan</w:t>
      </w:r>
      <w:r>
        <w:rPr>
          <w:rStyle w:val="FootnoteReference"/>
        </w:rPr>
        <w:footnoteReference w:id="27"/>
      </w:r>
      <w:r>
        <w:rPr>
          <w:rFonts w:ascii="Times New Roman" w:hAnsi="Times New Roman" w:cs="Times New Roman" w:eastAsia="Times New Roman"/>
          <w:sz w:val="28"/>
        </w:rPr>
        <w:t xml:space="preserve">. Shu bois dissertatsiyada taklif etilayotgan integral baholash metodikasining likvidlik blokida Bazel III metodikasi bo‘yicha qayta hisoblangan koeffitsiyentlardan foydalanish maqsadga muvofiq.</w:t>
      </w:r>
    </w:p>
    <w:bookmarkEnd w:id="28"/>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21">
    <w:p>
      <w:pPr>
        <w:pStyle w:val="FootnoteText"/>
      </w:pPr>
      <w:r>
        <w:rPr>
          <w:rStyle w:val="FootnoteReference"/>
        </w:rPr>
        <w:footnoteRef/>
      </w:r>
      <w:r>
        <w:t xml:space="preserve"> </w:t>
      </w:r>
      <w:r>
        <w:t xml:space="preserve">Basel Committee on Banking Supervision. Principles for Sound Liquidity Risk Management and Supervision. – Basel: Bank for International Settlements, September 2008.</w:t>
      </w:r>
    </w:p>
  </w:footnote>
  <w:footnote w:id="22">
    <w:p>
      <w:pPr>
        <w:pStyle w:val="FootnoteText"/>
      </w:pPr>
      <w:r>
        <w:rPr>
          <w:rStyle w:val="FootnoteReference"/>
        </w:rPr>
        <w:footnoteRef/>
      </w:r>
      <w:r>
        <w:t xml:space="preserve"> </w:t>
      </w:r>
      <w:r>
        <w:t xml:space="preserve">Basel Committee on Banking Supervision. Basel III: The Liquidity Coverage Ratio and liquidity risk monitoring tools. – Basel: Bank for International Settlements, January 2013.</w:t>
      </w:r>
    </w:p>
  </w:footnote>
  <w:footnote w:id="23">
    <w:p>
      <w:pPr>
        <w:pStyle w:val="FootnoteText"/>
      </w:pPr>
      <w:r>
        <w:rPr>
          <w:rStyle w:val="FootnoteReference"/>
        </w:rPr>
        <w:footnoteRef/>
      </w:r>
      <w:r>
        <w:t xml:space="preserve"> </w:t>
      </w:r>
      <w:r>
        <w:t xml:space="preserve">Basel Committee on Banking Supervision. Basel III: the net stable funding ratio. – Basel: Bank for International Settlements, October 2014.</w:t>
      </w:r>
    </w:p>
  </w:footnote>
  <w:footnote w:id="24">
    <w:p>
      <w:pPr>
        <w:pStyle w:val="FootnoteText"/>
      </w:pPr>
      <w:r>
        <w:rPr>
          <w:rStyle w:val="FootnoteReference"/>
        </w:rPr>
        <w:footnoteRef/>
      </w:r>
      <w:r>
        <w:t xml:space="preserve"> </w:t>
      </w:r>
      <w:r>
        <w:t xml:space="preserve">«O‘zsanoatqurilishbank» ATB ning likvidlik tahlili (16-jadval) va aktivlar tahlili (17-jadval), 2025-yil 30-dekabr holatiga.</w:t>
      </w:r>
    </w:p>
  </w:footnote>
  <w:footnote w:id="25">
    <w:p>
      <w:pPr>
        <w:pStyle w:val="FootnoteText"/>
      </w:pPr>
      <w:r>
        <w:rPr>
          <w:rStyle w:val="FootnoteReference"/>
        </w:rPr>
        <w:footnoteRef/>
      </w:r>
      <w:r>
        <w:t xml:space="preserve"> </w:t>
      </w:r>
      <w:r>
        <w:t xml:space="preserve">Tadqiqot natijasida muallif tomonidan quyidagi manbalar asosida ishlab chiqildi: «Tijorat banklarining likvidliligini boshqarishga qo‘yiladigan talablar to‘g‘risida»gi nizom (ro‘yxat raqami 2709). – 52-band; «O‘zsanoatqurilishbank» ATB ning likvidlik tahlili (16–18-jadvallar), 2025-yil 30-dekabr; Basel Committee on Banking Supervision. Basel III: The Liquidity Coverage Ratio and liquidity risk monitoring tools. – Basel: BIS, January 2013; Basel Committee on Banking Supervision. Liquidity coverage ratio disclosure standards. – Basel: BIS, January 2014.</w:t>
      </w:r>
    </w:p>
  </w:footnote>
  <w:footnote w:id="26">
    <w:p>
      <w:pPr>
        <w:pStyle w:val="FootnoteText"/>
      </w:pPr>
      <w:r>
        <w:rPr>
          <w:rStyle w:val="FootnoteReference"/>
        </w:rPr>
        <w:footnoteRef/>
      </w:r>
      <w:r>
        <w:t xml:space="preserve"> </w:t>
      </w:r>
      <w:r>
        <w:t xml:space="preserve">Tadqiqot natijasida muallif tomonidan quyidagi manbalar asosida ishlab chiqildi: «Tijorat banklarining likvidliligini boshqarishga qo‘yiladigan talablar to‘g‘risida»gi nizom (ro‘yxat raqami 2709). – 53–55-bandlar, 2-ilova; Basel Committee on Banking Supervision. Basel III: the net stable funding ratio. – Basel: BIS, October 2014; Basel Committee on Banking Supervision. Net Stable Funding Ratio disclosure standards. – Basel: BIS, June 2015.</w:t>
      </w:r>
    </w:p>
  </w:footnote>
  <w:footnote w:id="27">
    <w:p>
      <w:pPr>
        <w:pStyle w:val="FootnoteText"/>
      </w:pPr>
      <w:r>
        <w:rPr>
          <w:rStyle w:val="FootnoteReference"/>
        </w:rPr>
        <w:footnoteRef/>
      </w:r>
      <w:r>
        <w:t xml:space="preserve"> </w:t>
      </w:r>
      <w:r>
        <w:t xml:space="preserve">O‘zbekiston Respublikasi Markaziy banki. Moliya sektorini baholash dasturi (FSAP) tavsiyalarini amalga oshirish bo‘yicha 2025–2028-yillarga mo‘ljallangan «yo‘l xaritasi».</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2026-10-10T19:29:33Z</dcterms:created>
  <dcterms:modified xsi:type="dcterms:W3CDTF">2026-10-10T19:29:33Z</dcterms:modified>
</cp:coreProperties>
</file>

<file path=docProps/custom.xml><?xml version="1.0" encoding="utf-8"?>
<Properties xmlns="http://schemas.openxmlformats.org/officeDocument/2006/custom-properties" xmlns:vt="http://schemas.openxmlformats.org/officeDocument/2006/docPropsVTypes"/>
</file>