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d367e3418b4725840ecc8b6e9cb6ec1830e96f"/>
    <w:p>
      <w:pPr>
        <w:pStyle w:val="Heading2"/>
        <w:spacing w:line="360" w:lineRule="auto"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O‘zbekistonda Bazel talablarini joriy etish bosqichlari (2010–2026)</w:t>
      </w:r>
    </w:p>
    <w:p>
      <w:pPr>
        <w:pStyle w:val="FirstParagraph"/>
        <w:spacing w:line="360" w:lineRule="auto" w:before="120" w:after="0"/>
        <w:ind w:firstLine="0"/>
        <w:jc w:val="center"/>
      </w:pPr>
      <w:r>
        <w:rPr>
          <w:bCs/>
          <w:rFonts w:ascii="Times New Roman" w:hAnsi="Times New Roman" w:cs="Times New Roman" w:eastAsia="Times New Roman"/>
          <w:b/>
          <w:sz w:val="28"/>
        </w:rPr>
        <w:t xml:space="preserve">1-jadval. Me’yoriy hujjatlar va talablar evolyutsiyasi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Sana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Hujjat / voqea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Mazmuni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26.11.2010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Prezidentning PQ-1438-son qarori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2011–2015-yillarda moliya-bank tizimini isloh qilish dasturi; Jahon banki loyihasi doirasida ~30 ta normativ hujjat; joyida tekshirish uchun CAMEL tizimi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06.05.2015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Prezidentning PQ-2344-son qarori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Markaziy bankka 2015–2019-yillarda Bazel III talablarini bosqichma-bosqich joriy etish topshirilgan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13.06.2015 (ro‘yxat: 06.07.2015, № 2693)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MB Boshqaruvining 14/3-son qarori: «Tijorat banklari kapitalining monandligiga qo‘yiladigan talablar to‘g‘risida»gi nizom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Regulyativ kapital monandligi (K1) – kamida 13% (3% lik kapitalni saqlash buferi bilan); I darajali kapital (K2) – kamida 10%; leverej – kamida 6%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22.07.2015 (№ 2709)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MB Boshqaruvining 19/14-son qarori: likvidlikni boshqarish nizomi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LCR: 01.01.2016 dan 80%, 01.01.2017 dan 90%, 01.01.2018 dan 100%; NSFR: 2018-yildan kamida 100%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2018–2024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2693-3 (25.04.2018), 2693-6 (25.12.2019), 2693-12 (27.02.2024) son o‘zgartirishlar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Kapital nizomiga o‘zgartirish va qo‘shimchalar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18.02.2023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MB Boshqaruvining 4/13-son qarori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Tizimli ahamiyatga molik banklarni aniqlash tartibi to‘g‘risidagi nizom (mezonlar: hajm, o‘zaro bog‘liqlik, qamrov, operatsiyalar murakkabligi)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2024–2025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XVJ va Jahon bankining FSAP baholashi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2023-yil oxirida kapital monandligi 17,5%; kamchiliklar: subordinar qarzlar (II darajali kapitalning ~1/3 qismi) Bazel talabiga mos emas, tizimli banklar buferi qo‘llanmagan, 2-ustun metodikasi yo‘q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21.04.2025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2693-13-son o‘zgartirish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Muddatsiz nokumulyativ instrumentlarni qo‘shimcha I darajali kapitalga (AT1) kiritish; 01.06.2025 dan talabga javob beradigan kichik biznes kreditlariga 75% risk vazni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02.10.2025 (ro‘yxat: 28.10.2025, № 3697)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MB Boshqaruvining 21/6-son qarori: «Banklar kapitalining monandligiga qo‘yiladigan talablar to‘g‘risida»gi yangi nizom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2026-yildan amalda: I darajali asosiy kapital (CET1, K3) – kamida 8%; leverej – kamida 6%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Bazel III kapital buferlari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Kapitalni saqlash buferi – 2,5%; kontrsiklik bufer – 1,5%; tizimli ahamiyatli banklar buferi – 1%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17.11.2025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MB ning FSAP bo‘yicha 2025–2028-yillar «yo‘l xaritasi»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Bazel III ni to‘liq joriy etish (2- va 3-ustunlar bilan); aktivlarni tasniflash va zaxiralarni Bazel va MHXS 9 ga moslashtirish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01.01.2026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Kontrsiklik bufer kuchga kirdi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1,5% (0–2,5% oralig‘ida, yiliga ikki marta ko‘rib chiqiladi)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Tizimli ahamiyatga molik banklar ro‘yxati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7 ta bank: O‘zmilliybank, Agrobank, O‘zsanoatqurilishbank, Xalq banki, Ipoteka-bank, Kapitalbank, Asakabank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2026-yil avgust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Kontrsiklik bufer qayta ko‘rib chiqildi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1,5% darajasida saqlab qolindi (mikromoliya banklaridan tashqari)</w:t>
            </w:r>
          </w:p>
        </w:tc>
      </w:tr>
    </w:tbl>
    <w:p>
      <w:pPr>
        <w:pStyle w:val="BodyText"/>
        <w:spacing w:line="360" w:lineRule="auto" w:before="120" w:after="0"/>
        <w:ind w:firstLine="0"/>
        <w:jc w:val="center"/>
      </w:pPr>
      <w:r>
        <w:rPr>
          <w:bCs/>
          <w:rFonts w:ascii="Times New Roman" w:hAnsi="Times New Roman" w:cs="Times New Roman" w:eastAsia="Times New Roman"/>
          <w:b/>
          <w:sz w:val="28"/>
        </w:rPr>
        <w:t xml:space="preserve">2-jadval. Kapital talablarining o‘zgarishi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Ko‘rsatkich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2015-yilgi nizom (№ 2693)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2025-yilgi yangi nizom (№ 3697) va buferlar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Bazel III minimumi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Asosiy kapital (CET1)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 8%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 4,5%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I darajali kapital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 10%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– *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 6%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Jami regulyativ kapital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 13%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– *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 8%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Kapitalni saqlash buferi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3% (13% ichida)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2,5%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2,5%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Kontrsiklik bufer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yo‘q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1,5% (01.01.2026 dan)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0–2,5%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Tizimli ahamiyatli banklar buferi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yo‘q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1–3,5% (G-SIB)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Leverej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 6%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 6%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 3%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LCR / NSFR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 100% (2018-yildan)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 100%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 100%</w:t>
            </w:r>
          </w:p>
        </w:tc>
      </w:tr>
    </w:tbl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* Yangi nizom bo‘yicha I darajali va jami kapitalning minimal darajasi ochiq manbalarda topilmadi; lex.uz dagi rasmiy matndan aniqlash kerak.</w:t>
      </w:r>
    </w:p>
    <w:p>
      <w:pPr>
        <w:pStyle w:val="BodyText"/>
        <w:spacing w:line="360" w:lineRule="auto" w:before="120" w:after="0"/>
        <w:ind w:firstLine="0"/>
        <w:jc w:val="center"/>
      </w:pPr>
      <w:r>
        <w:rPr>
          <w:bCs/>
          <w:rFonts w:ascii="Times New Roman" w:hAnsi="Times New Roman" w:cs="Times New Roman" w:eastAsia="Times New Roman"/>
          <w:b/>
          <w:sz w:val="28"/>
        </w:rPr>
        <w:t xml:space="preserve">3-jadval. Bank tizimining haqiqiy ko‘rsatkichlari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Sana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Jami kapital monandligi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CET1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Muammoli kreditlar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2023-yil oxiri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17,5%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2024-yil oxiri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17,0%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2025-yil 1-yarmi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17,4%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14,6%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2025-yil oxiri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18,3%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14,7%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–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2026-yil 1-iyul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18,5%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15,0%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3,6%</w:t>
            </w:r>
          </w:p>
        </w:tc>
      </w:tr>
    </w:tbl>
    <w:p>
      <w:pPr>
        <w:pStyle w:val="BodyText"/>
        <w:spacing w:line="360" w:lineRule="auto" w:before="0" w:after="0"/>
        <w:ind w:firstLine="709"/>
        <w:jc w:val="both"/>
      </w:pPr>
      <w:r>
        <w:rPr>
          <w:bCs/>
          <w:rFonts w:ascii="Times New Roman" w:hAnsi="Times New Roman" w:cs="Times New Roman" w:eastAsia="Times New Roman"/>
          <w:b/>
          <w:sz w:val="28"/>
        </w:rPr>
        <w:t xml:space="preserve">Manbalar</w:t>
      </w:r>
    </w:p>
    <w:p>
      <w:pPr>
        <w:numPr>
          <w:ilvl w:val="0"/>
          <w:numId w:val="1001"/>
        </w:numPr>
        <w:pStyle w:val="Compac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Karaliyev T.M., Sayfiddinov I.F. Tijorat banklari faoliyatini tartibga solish va nazorati. – T.: Iqtisod-Moliya, 2019. – B. 3–4, 177–186.</w:t>
      </w:r>
    </w:p>
    <w:p>
      <w:pPr>
        <w:numPr>
          <w:ilvl w:val="0"/>
          <w:numId w:val="1001"/>
        </w:numPr>
        <w:pStyle w:val="Compac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Tijorat banklari kapitalining monandligiga qo‘yiladigan talablar to‘g‘risidagi nizom (ro‘yxat raqami 2693, 06.07.2015) va unga o‘zgartirishlar (2693-3, 2693-6, 2693-12, 2693-13) // lex.uz.</w:t>
      </w:r>
    </w:p>
    <w:p>
      <w:pPr>
        <w:numPr>
          <w:ilvl w:val="0"/>
          <w:numId w:val="1001"/>
        </w:numPr>
        <w:pStyle w:val="Compac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Banklar kapitalining monandligiga qo‘yiladigan talablar to‘g‘risidagi nizom (MB Boshqaruvining 02.10.2025 dagi 21/6-son qarori, ro‘yxat raqami 3697) // lex.uz.</w:t>
      </w:r>
    </w:p>
    <w:p>
      <w:pPr>
        <w:numPr>
          <w:ilvl w:val="0"/>
          <w:numId w:val="1001"/>
        </w:numPr>
        <w:pStyle w:val="Compac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IMF. Republic of Uzbekistan: Financial Sector Assessment Program – Detailed Assessment of Observance – Basel Core Principles for Effective Banking Supervision. – IMF Country Report No. 25/227, 2025.</w:t>
      </w:r>
    </w:p>
    <w:p>
      <w:pPr>
        <w:numPr>
          <w:ilvl w:val="0"/>
          <w:numId w:val="1001"/>
        </w:numPr>
        <w:pStyle w:val="Compac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O‘zbekiston Respublikasi Markaziy banki. Moliyaviy barqarorlik sharhi: 2024-yil; 2025-yil I yarim yillik; 2025-yil. – cbu.uz.</w:t>
      </w:r>
    </w:p>
    <w:p>
      <w:pPr>
        <w:numPr>
          <w:ilvl w:val="0"/>
          <w:numId w:val="1001"/>
        </w:numPr>
        <w:pStyle w:val="Compac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O‘zbekiston Respublikasi Markaziy banki. Kontrsiklik kapital bufer darajasi belgilandi (press-reliz); 2026-yil uchun mahalliy tizimli ahamiyatga molik banklar belgilandi (press-reliz). – cbu.uz.</w:t>
      </w:r>
    </w:p>
    <w:p>
      <w:pPr>
        <w:numPr>
          <w:ilvl w:val="0"/>
          <w:numId w:val="1001"/>
        </w:numPr>
        <w:pStyle w:val="Compac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O‘zbekiston Respublikasi Markaziy banki. FSAP Roadmap, 17.11.2025. – cbu.uz.</w:t>
      </w:r>
    </w:p>
    <w:bookmarkEnd w:id="20"/>
    <w:sectPr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Pr>
      <w:rFonts w:ascii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</w:rPr>
  </w:style>
  <w:style w:customStyle="1" w:styleId="ImageCaption" w:type="paragraph">
    <w:name w:val="Image Caption"/>
    <w:basedOn w:val="Caption"/>
    <w:rPr>
      <w:rFonts w:ascii="Times New Roman" w:hAnsi="Times New Roman"/>
    </w:rPr>
  </w:style>
  <w:style w:customStyle="1" w:styleId="Figure" w:type="paragraph">
    <w:name w:val="Figure"/>
    <w:basedOn w:val="Normal"/>
    <w:rPr>
      <w:rFonts w:ascii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</w:rPr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</w:rPr>
  </w:style>
  <w:style w:styleId="FootnoteReference" w:type="character">
    <w:name w:val="Footnote Reference"/>
    <w:basedOn w:val="BodyTextChar"/>
    <w:rPr>
      <w:rFonts w:ascii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/>
    </w:rPr>
  </w:style>
  <w:style w:type="character" w:customStyle="1" w:styleId="KeywordTok">
    <w:name w:val="KeywordTok"/>
    <w:basedOn w:val="VerbatimChar"/>
    <w:rPr>
      <w:rFonts w:ascii="Times New Roman" w:hAnsi="Times New Roman"/>
      <w:b/>
    </w:rPr>
  </w:style>
  <w:style w:type="character" w:customStyle="1" w:styleId="DataTypeTok">
    <w:name w:val="DataTypeTok"/>
    <w:basedOn w:val="VerbatimChar"/>
    <w:rPr>
      <w:rFonts w:ascii="Times New Roman" w:hAnsi="Times New Roman"/>
    </w:rPr>
  </w:style>
  <w:style w:type="character" w:customStyle="1" w:styleId="DecValTok">
    <w:name w:val="DecValTok"/>
    <w:basedOn w:val="VerbatimChar"/>
    <w:rPr>
      <w:rFonts w:ascii="Times New Roman" w:hAnsi="Times New Roman"/>
    </w:rPr>
  </w:style>
  <w:style w:type="character" w:customStyle="1" w:styleId="BaseNTok">
    <w:name w:val="BaseNTok"/>
    <w:basedOn w:val="VerbatimChar"/>
    <w:rPr>
      <w:rFonts w:ascii="Times New Roman" w:hAnsi="Times New Roman"/>
    </w:rPr>
  </w:style>
  <w:style w:type="character" w:customStyle="1" w:styleId="FloatTok">
    <w:name w:val="FloatTok"/>
    <w:basedOn w:val="VerbatimChar"/>
    <w:rPr>
      <w:rFonts w:ascii="Times New Roman" w:hAnsi="Times New Roman"/>
    </w:rPr>
  </w:style>
  <w:style w:type="character" w:customStyle="1" w:styleId="ConstantTok">
    <w:name w:val="ConstantTok"/>
    <w:basedOn w:val="VerbatimChar"/>
    <w:rPr>
      <w:rFonts w:ascii="Times New Roman" w:hAnsi="Times New Roman"/>
    </w:rPr>
  </w:style>
  <w:style w:type="character" w:customStyle="1" w:styleId="CharTok">
    <w:name w:val="CharTok"/>
    <w:basedOn w:val="VerbatimChar"/>
    <w:rPr>
      <w:rFonts w:ascii="Times New Roman" w:hAnsi="Times New Roman"/>
    </w:rPr>
  </w:style>
  <w:style w:type="character" w:customStyle="1" w:styleId="SpecialCharTok">
    <w:name w:val="SpecialCharTok"/>
    <w:basedOn w:val="VerbatimChar"/>
    <w:rPr>
      <w:rFonts w:ascii="Times New Roman" w:hAnsi="Times New Roman"/>
    </w:rPr>
  </w:style>
  <w:style w:type="character" w:customStyle="1" w:styleId="StringTok">
    <w:name w:val="StringTok"/>
    <w:basedOn w:val="VerbatimChar"/>
    <w:rPr>
      <w:rFonts w:ascii="Times New Roman" w:hAnsi="Times New Roman"/>
    </w:rPr>
  </w:style>
  <w:style w:type="character" w:customStyle="1" w:styleId="VerbatimStringTok">
    <w:name w:val="VerbatimStringTok"/>
    <w:basedOn w:val="VerbatimChar"/>
    <w:rPr>
      <w:rFonts w:ascii="Times New Roman" w:hAnsi="Times New Roman"/>
    </w:rPr>
  </w:style>
  <w:style w:type="character" w:customStyle="1" w:styleId="SpecialStringTok">
    <w:name w:val="SpecialStringTok"/>
    <w:basedOn w:val="VerbatimChar"/>
    <w:rPr>
      <w:rFonts w:ascii="Times New Roman" w:hAnsi="Times New Roman"/>
    </w:rPr>
  </w:style>
  <w:style w:type="character" w:customStyle="1" w:styleId="ImportTok">
    <w:name w:val="ImportTok"/>
    <w:basedOn w:val="VerbatimChar"/>
    <w:rPr>
      <w:rFonts w:ascii="Times New Roman" w:hAnsi="Times New Roman"/>
      <w:b/>
    </w:rPr>
  </w:style>
  <w:style w:type="character" w:customStyle="1" w:styleId="CommentTok">
    <w:name w:val="CommentTok"/>
    <w:basedOn w:val="VerbatimChar"/>
    <w:rPr>
      <w:rFonts w:ascii="Times New Roman" w:hAnsi="Times New Roman"/>
      <w:i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</w:rPr>
  </w:style>
  <w:style w:type="character" w:customStyle="1" w:styleId="OtherTok">
    <w:name w:val="OtherTok"/>
    <w:basedOn w:val="VerbatimChar"/>
    <w:rPr>
      <w:rFonts w:ascii="Times New Roman" w:hAnsi="Times New Roman"/>
    </w:rPr>
  </w:style>
  <w:style w:type="character" w:customStyle="1" w:styleId="FunctionTok">
    <w:name w:val="FunctionTok"/>
    <w:basedOn w:val="VerbatimChar"/>
    <w:rPr>
      <w:rFonts w:ascii="Times New Roman" w:hAnsi="Times New Roman"/>
    </w:rPr>
  </w:style>
  <w:style w:type="character" w:customStyle="1" w:styleId="VariableTok">
    <w:name w:val="VariableTok"/>
    <w:basedOn w:val="VerbatimChar"/>
    <w:rPr>
      <w:rFonts w:ascii="Times New Roman" w:hAnsi="Times New Roman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</w:rPr>
  </w:style>
  <w:style w:type="character" w:customStyle="1" w:styleId="OperatorTok">
    <w:name w:val="OperatorTok"/>
    <w:basedOn w:val="VerbatimChar"/>
    <w:rPr>
      <w:rFonts w:ascii="Times New Roman" w:hAnsi="Times New Roman"/>
    </w:rPr>
  </w:style>
  <w:style w:type="character" w:customStyle="1" w:styleId="BuiltInTok">
    <w:name w:val="BuiltInTok"/>
    <w:basedOn w:val="VerbatimChar"/>
    <w:rPr>
      <w:rFonts w:ascii="Times New Roman" w:hAnsi="Times New Roman"/>
    </w:rPr>
  </w:style>
  <w:style w:type="character" w:customStyle="1" w:styleId="ExtensionTok">
    <w:name w:val="ExtensionTok"/>
    <w:basedOn w:val="VerbatimChar"/>
    <w:rPr>
      <w:rFonts w:ascii="Times New Roman" w:hAnsi="Times New Roman"/>
    </w:rPr>
  </w:style>
  <w:style w:type="character" w:customStyle="1" w:styleId="PreprocessorTok">
    <w:name w:val="PreprocessorTok"/>
    <w:basedOn w:val="VerbatimChar"/>
    <w:rPr>
      <w:rFonts w:ascii="Times New Roman" w:hAnsi="Times New Roman"/>
    </w:rPr>
  </w:style>
  <w:style w:type="character" w:customStyle="1" w:styleId="AttributeTok">
    <w:name w:val="AttributeTok"/>
    <w:basedOn w:val="VerbatimChar"/>
    <w:rPr>
      <w:rFonts w:ascii="Times New Roman" w:hAnsi="Times New Roman"/>
    </w:rPr>
  </w:style>
  <w:style w:type="character" w:customStyle="1" w:styleId="RegionMarkerTok">
    <w:name w:val="RegionMarkerTok"/>
    <w:basedOn w:val="VerbatimChar"/>
    <w:rPr>
      <w:rFonts w:ascii="Times New Roman" w:hAnsi="Times New Roman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</w:rPr>
  </w:style>
  <w:style w:type="character" w:customStyle="1" w:styleId="AlertTok">
    <w:name w:val="AlertTok"/>
    <w:basedOn w:val="VerbatimChar"/>
    <w:rPr>
      <w:rFonts w:ascii="Times New Roman" w:hAnsi="Times New Roman"/>
      <w:b/>
    </w:rPr>
  </w:style>
  <w:style w:type="character" w:customStyle="1" w:styleId="ErrorTok">
    <w:name w:val="ErrorTok"/>
    <w:basedOn w:val="VerbatimChar"/>
    <w:rPr>
      <w:rFonts w:ascii="Times New Roman" w:hAnsi="Times New Roman"/>
      <w:b/>
    </w:rPr>
  </w:style>
  <w:style w:type="character" w:customStyle="1" w:styleId="NormalTok">
    <w:name w:val="NormalTok"/>
    <w:basedOn w:val="VerbatimChar"/>
    <w:rPr>
      <w:rFonts w:ascii="Times New Roman" w:hAnsi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2026-10-09T19:23:50Z</dcterms:created>
  <dcterms:modified xsi:type="dcterms:W3CDTF">2026-10-09T19:23:50Z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