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Dissertatsiyaning</w:t>
      </w:r>
      <w:r>
        <w:t xml:space="preserve"> </w:t>
      </w:r>
      <w:r>
        <w:t xml:space="preserve">yaxlit</w:t>
      </w:r>
      <w:r>
        <w:t xml:space="preserve"> </w:t>
      </w:r>
      <w:r>
        <w:t xml:space="preserve">rejasi</w:t>
      </w:r>
      <w:r>
        <w:t xml:space="preserve"> </w:t>
      </w:r>
      <w:r>
        <w:t xml:space="preserve">va</w:t>
      </w:r>
      <w:r>
        <w:t xml:space="preserve"> </w:t>
      </w:r>
      <w:r>
        <w:t xml:space="preserve">uning</w:t>
      </w:r>
      <w:r>
        <w:t xml:space="preserve"> </w:t>
      </w:r>
      <w:r>
        <w:t xml:space="preserve">asoslanishi</w:t>
      </w:r>
    </w:p>
    <w:bookmarkStart w:id="21" w:name="X9da792d8ffa25273206a1683d7661ed1838882d"/>
    <w:p>
      <w:pPr>
        <w:pStyle w:val="Heading1"/>
      </w:pPr>
      <w:r>
        <w:t xml:space="preserve">TIJORAT BANKLARI MOLIYAVIY BARQARORLIGINI XALQARO STANDARTLAR ASOSIDA BAHOLASH METODOLOGIYASINI TAKOMILLASHTIRISH</w:t>
      </w:r>
    </w:p>
    <w:bookmarkStart w:id="20" w:name="X369a921904e98c7a2c0a09556cdec94b57c3f18"/>
    <w:p>
      <w:pPr>
        <w:pStyle w:val="Heading2"/>
      </w:pPr>
      <w:r>
        <w:t xml:space="preserve">MUNDARIJA (taklif etilayotgan yaxlit variant)</w:t>
      </w:r>
    </w:p>
    <w:p>
      <w:pPr>
        <w:pStyle w:val="FirstParagraph"/>
      </w:pPr>
      <w:r>
        <w:t xml:space="preserve">KIRISH</w:t>
      </w:r>
    </w:p>
    <w:p>
      <w:pPr>
        <w:pStyle w:val="BodyText"/>
      </w:pPr>
      <w:r>
        <w:rPr>
          <w:bCs/>
          <w:b/>
        </w:rPr>
        <w:t xml:space="preserve">I BOB. TIJORAT BANKLARI MOLIYAVIY BARQARORLIGINI BAHOLASHNING NAZARIY ASOSLARI VA XALQARO STANDARTLARI</w:t>
      </w:r>
    </w:p>
    <w:p>
      <w:pPr>
        <w:pStyle w:val="BodyText"/>
      </w:pPr>
      <w:r>
        <w:t xml:space="preserve">1.1-§. Tijorat banklari moliyaviy barqarorligining iqtisodiy mazmuni va unga oid ilmiy qarashlar</w:t>
      </w:r>
    </w:p>
    <w:p>
      <w:pPr>
        <w:pStyle w:val="BodyText"/>
      </w:pPr>
      <w:r>
        <w:t xml:space="preserve">1.2-§. Tijorat banklari moliyaviy barqarorligini baholashning nazariy asoslari va metodologik yondashuvlar tasnifi</w:t>
      </w:r>
    </w:p>
    <w:p>
      <w:pPr>
        <w:pStyle w:val="BodyText"/>
      </w:pPr>
      <w:r>
        <w:t xml:space="preserve">1.3-§. Banklar moliyaviy barqarorligini baholashning xalqaro standartlari va ularning qiyosiy tavsifi</w:t>
      </w:r>
    </w:p>
    <w:p>
      <w:pPr>
        <w:pStyle w:val="BodyText"/>
      </w:pPr>
      <w:r>
        <w:t xml:space="preserve">I bob bo‘yicha xulosalar</w:t>
      </w:r>
    </w:p>
    <w:p>
      <w:pPr>
        <w:pStyle w:val="BodyText"/>
      </w:pPr>
      <w:r>
        <w:rPr>
          <w:bCs/>
          <w:b/>
        </w:rPr>
        <w:t xml:space="preserve">II BOB. O‘ZBEKISTON BANK TIZIMIDA MOLIYAVIY BARQARORLIKNI BAHOLASH AMALIYOTINING XALQARO STANDARTLARGA MUVOFIQLIGI TAHLILI</w:t>
      </w:r>
    </w:p>
    <w:p>
      <w:pPr>
        <w:pStyle w:val="BodyText"/>
      </w:pPr>
      <w:r>
        <w:t xml:space="preserve">2.1-§. O‘zbekistonda banklar moliyaviy barqarorligini baholashning amaldagi holati va xalqaro standartlarga moslashtirish muammolari</w:t>
      </w:r>
    </w:p>
    <w:p>
      <w:pPr>
        <w:pStyle w:val="BodyText"/>
      </w:pPr>
      <w:r>
        <w:t xml:space="preserve">2.2-§. O‘zbekiston bank tizimida moliyaviy barqarorlik ko‘rsatkichlari dinamikasining XVJ mezonlari asosidagi tahlili</w:t>
      </w:r>
    </w:p>
    <w:p>
      <w:pPr>
        <w:pStyle w:val="BodyText"/>
      </w:pPr>
      <w:r>
        <w:t xml:space="preserve">2.3-§. Tijorat banklari moliyaviy ko‘rsatkichlarining milliy va MHXS hisobotlari bo‘yicha qiyosiy tahlili</w:t>
      </w:r>
    </w:p>
    <w:p>
      <w:pPr>
        <w:pStyle w:val="BodyText"/>
      </w:pPr>
      <w:r>
        <w:t xml:space="preserve">II bob bo‘yicha xulosalar</w:t>
      </w:r>
    </w:p>
    <w:p>
      <w:pPr>
        <w:pStyle w:val="BodyText"/>
      </w:pPr>
      <w:r>
        <w:rPr>
          <w:bCs/>
          <w:b/>
        </w:rPr>
        <w:t xml:space="preserve">III BOB. XALQARO STANDARTLARGA ASOSLANGAN INTEGRAL BAHOLASH METODIKASI VA UNING EKONOMETRIK ASOSLANISHI</w:t>
      </w:r>
    </w:p>
    <w:p>
      <w:pPr>
        <w:pStyle w:val="BodyText"/>
      </w:pPr>
      <w:r>
        <w:t xml:space="preserve">3.1-§. Moliyaviy barqarorlikni integral indeks asosida baholashning takomillashtirilgan metodikasi</w:t>
      </w:r>
    </w:p>
    <w:p>
      <w:pPr>
        <w:pStyle w:val="BodyText"/>
      </w:pPr>
      <w:r>
        <w:t xml:space="preserve">3.2-§. Tijorat banklari moliyaviy barqarorligini integral indeks asosida reyting baholash</w:t>
      </w:r>
    </w:p>
    <w:p>
      <w:pPr>
        <w:pStyle w:val="BodyText"/>
      </w:pPr>
      <w:r>
        <w:t xml:space="preserve">3.3-§. Tijorat banklari moliyaviy barqarorligiga ta’sir etuvchi omillarning ekonometrik tahlili</w:t>
      </w:r>
    </w:p>
    <w:p>
      <w:pPr>
        <w:pStyle w:val="BodyText"/>
      </w:pPr>
      <w:r>
        <w:t xml:space="preserve">III bob bo‘yicha xulosalar</w:t>
      </w:r>
    </w:p>
    <w:p>
      <w:pPr>
        <w:pStyle w:val="BodyText"/>
      </w:pPr>
      <w:r>
        <w:rPr>
          <w:bCs/>
          <w:b/>
        </w:rPr>
        <w:t xml:space="preserve">IV BOB. TIJORAT BANKLARI MOLIYAVIY BARQARORLIGINI BAHOLASH METODOLOGIYASINI TAKOMILLASHTIRISH YO‘NALISHLARI</w:t>
      </w:r>
    </w:p>
    <w:p>
      <w:pPr>
        <w:pStyle w:val="BodyText"/>
      </w:pPr>
      <w:r>
        <w:t xml:space="preserve">4.1-§. Banklar moliyaviy barqarorligini erta ogohlantirish tizimini shakllantirish</w:t>
      </w:r>
    </w:p>
    <w:p>
      <w:pPr>
        <w:pStyle w:val="BodyText"/>
      </w:pPr>
      <w:r>
        <w:t xml:space="preserve">4.2-§. Tijorat banklari moliyaviy barqarorligini o‘rta muddatli istiqbolda prognozlash</w:t>
      </w:r>
    </w:p>
    <w:p>
      <w:pPr>
        <w:pStyle w:val="BodyText"/>
      </w:pPr>
      <w:r>
        <w:t xml:space="preserve">4.3-§. Tijorat banklari moliyaviy barqarorligini baholash amaliyotini xalqaro standartlarga muvofiqlashtirish bo‘yicha taklif va tavsiyalar</w:t>
      </w:r>
    </w:p>
    <w:p>
      <w:pPr>
        <w:pStyle w:val="BodyText"/>
      </w:pPr>
      <w:r>
        <w:t xml:space="preserve">IV bob bo‘yicha xulosalar</w:t>
      </w:r>
    </w:p>
    <w:p>
      <w:pPr>
        <w:pStyle w:val="BodyText"/>
      </w:pPr>
      <w:r>
        <w:t xml:space="preserve">XULOSA VA TAKLIFLAR</w:t>
      </w:r>
    </w:p>
    <w:p>
      <w:pPr>
        <w:pStyle w:val="BodyText"/>
      </w:pPr>
      <w:r>
        <w:t xml:space="preserve">FOYDALANILGAN ADABIYOTLAR RO‘YXATI</w:t>
      </w:r>
    </w:p>
    <w:p>
      <w:pPr>
        <w:pStyle w:val="BodyText"/>
      </w:pPr>
      <w:r>
        <w:t xml:space="preserve">ILOVALAR</w:t>
      </w:r>
    </w:p>
    <w:bookmarkEnd w:id="20"/>
    <w:bookmarkEnd w:id="21"/>
    <w:bookmarkStart w:id="22" w:name="ikki-variant-qanday-birlashtirildi"/>
    <w:p>
      <w:pPr>
        <w:pStyle w:val="Heading1"/>
      </w:pPr>
      <w:r>
        <w:t xml:space="preserve">1. Ikki variant qanday birlashtirildi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Qism</w:t>
            </w:r>
          </w:p>
        </w:tc>
        <w:tc>
          <w:tcPr/>
          <w:p>
            <w:pPr>
              <w:pStyle w:val="Compact"/>
              <w:jc w:val="left"/>
            </w:pPr>
            <w:r>
              <w:t xml:space="preserve">1-variant</w:t>
            </w:r>
          </w:p>
        </w:tc>
        <w:tc>
          <w:tcPr/>
          <w:p>
            <w:pPr>
              <w:pStyle w:val="Compact"/>
              <w:jc w:val="left"/>
            </w:pPr>
            <w:r>
              <w:t xml:space="preserve">2-variant</w:t>
            </w:r>
          </w:p>
        </w:tc>
        <w:tc>
          <w:tcPr/>
          <w:p>
            <w:pPr>
              <w:pStyle w:val="Compact"/>
              <w:jc w:val="left"/>
            </w:pPr>
            <w:r>
              <w:t xml:space="preserve">Yaxlit rejada</w:t>
            </w:r>
          </w:p>
        </w:tc>
        <w:tc>
          <w:tcPr/>
          <w:p>
            <w:pPr>
              <w:pStyle w:val="Compact"/>
              <w:jc w:val="left"/>
            </w:pPr>
            <w:r>
              <w:t xml:space="preserve">Sababi</w:t>
            </w:r>
          </w:p>
        </w:tc>
      </w:tr>
      <w:tr>
        <w:tc>
          <w:tcPr/>
          <w:p>
            <w:pPr>
              <w:pStyle w:val="Compact"/>
              <w:jc w:val="left"/>
            </w:pPr>
            <w:r>
              <w:t xml:space="preserve">I bob nomi</w:t>
            </w:r>
          </w:p>
        </w:tc>
        <w:tc>
          <w:tcPr/>
          <w:p>
            <w:pPr>
              <w:pStyle w:val="Compact"/>
              <w:jc w:val="left"/>
            </w:pPr>
            <w:r>
              <w:t xml:space="preserve">«Ilmiy-nazariy asoslari»</w:t>
            </w:r>
          </w:p>
        </w:tc>
        <w:tc>
          <w:tcPr/>
          <w:p>
            <w:pPr>
              <w:pStyle w:val="Compact"/>
              <w:jc w:val="left"/>
            </w:pPr>
            <w:r>
              <w:t xml:space="preserve">«Nazariy asoslari va xalqaro standartlari»</w:t>
            </w:r>
          </w:p>
        </w:tc>
        <w:tc>
          <w:tcPr/>
          <w:p>
            <w:pPr>
              <w:pStyle w:val="Compact"/>
              <w:jc w:val="left"/>
            </w:pPr>
            <w:r>
              <w:rPr>
                <w:bCs/>
                <w:b/>
              </w:rPr>
              <w:t xml:space="preserve">2-variant</w:t>
            </w:r>
          </w:p>
        </w:tc>
        <w:tc>
          <w:tcPr/>
          <w:p>
            <w:pPr>
              <w:pStyle w:val="Compact"/>
              <w:jc w:val="left"/>
            </w:pPr>
            <w:r>
              <w:t xml:space="preserve">Mavzudagi «xalqaro standartlar» birinchi bobdanoq ko‘rinadi</w:t>
            </w:r>
          </w:p>
        </w:tc>
      </w:tr>
      <w:tr>
        <w:tc>
          <w:tcPr/>
          <w:p>
            <w:pPr>
              <w:pStyle w:val="Compact"/>
              <w:jc w:val="left"/>
            </w:pPr>
            <w:r>
              <w:t xml:space="preserve">Metodologik yondashuvlar tasnifi</w:t>
            </w:r>
          </w:p>
        </w:tc>
        <w:tc>
          <w:tcPr/>
          <w:p>
            <w:pPr>
              <w:pStyle w:val="Compact"/>
              <w:jc w:val="left"/>
            </w:pPr>
            <w:r>
              <w:t xml:space="preserve">2.1</w:t>
            </w:r>
          </w:p>
        </w:tc>
        <w:tc>
          <w:tcPr/>
          <w:p>
            <w:pPr>
              <w:pStyle w:val="Compact"/>
              <w:jc w:val="left"/>
            </w:pPr>
            <w:r>
              <w:t xml:space="preserve">3.1</w:t>
            </w:r>
          </w:p>
        </w:tc>
        <w:tc>
          <w:tcPr/>
          <w:p>
            <w:pPr>
              <w:pStyle w:val="Compact"/>
              <w:jc w:val="left"/>
            </w:pPr>
            <w:r>
              <w:rPr>
                <w:bCs/>
                <w:b/>
              </w:rPr>
              <w:t xml:space="preserve">1.2 ga qo‘shildi</w:t>
            </w:r>
          </w:p>
        </w:tc>
        <w:tc>
          <w:tcPr/>
          <w:p>
            <w:pPr>
              <w:pStyle w:val="Compact"/>
              <w:jc w:val="left"/>
            </w:pPr>
            <w:r>
              <w:t xml:space="preserve">Tasnif — nazariy material. III bob muallif metodikasiga ajratilishi kerak, unda boshqalarning yondashuvlarini tasniflash bobni «suyultiradi»</w:t>
            </w:r>
          </w:p>
        </w:tc>
      </w:tr>
      <w:tr>
        <w:tc>
          <w:tcPr/>
          <w:p>
            <w:pPr>
              <w:pStyle w:val="Compact"/>
              <w:jc w:val="left"/>
            </w:pPr>
            <w:r>
              <w:t xml:space="preserve">II bob nomi</w:t>
            </w:r>
          </w:p>
        </w:tc>
        <w:tc>
          <w:tcPr/>
          <w:p>
            <w:pPr>
              <w:pStyle w:val="Compact"/>
              <w:jc w:val="left"/>
            </w:pPr>
            <w:r>
              <w:t xml:space="preserve">«Metodologik asoslari va amaldagi holati»</w:t>
            </w:r>
          </w:p>
        </w:tc>
        <w:tc>
          <w:tcPr/>
          <w:p>
            <w:pPr>
              <w:pStyle w:val="Compact"/>
              <w:jc w:val="left"/>
            </w:pPr>
            <w:r>
              <w:t xml:space="preserve">«Xalqaro standartlarga muvofiqligi tahlili»</w:t>
            </w:r>
          </w:p>
        </w:tc>
        <w:tc>
          <w:tcPr/>
          <w:p>
            <w:pPr>
              <w:pStyle w:val="Compact"/>
              <w:jc w:val="left"/>
            </w:pPr>
            <w:r>
              <w:rPr>
                <w:bCs/>
                <w:b/>
              </w:rPr>
              <w:t xml:space="preserve">2-variant</w:t>
            </w:r>
          </w:p>
        </w:tc>
        <w:tc>
          <w:tcPr/>
          <w:p>
            <w:pPr>
              <w:pStyle w:val="Compact"/>
              <w:jc w:val="left"/>
            </w:pPr>
            <w:r>
              <w:t xml:space="preserve">Tahlil bobining maqsadi aniq: amaliyot standartlarga qanchalik mos</w:t>
            </w:r>
          </w:p>
        </w:tc>
      </w:tr>
      <w:tr>
        <w:tc>
          <w:tcPr/>
          <w:p>
            <w:pPr>
              <w:pStyle w:val="Compact"/>
              <w:jc w:val="left"/>
            </w:pPr>
            <w:r>
              <w:t xml:space="preserve">Milliy va MHXS solishtiruvi</w:t>
            </w:r>
          </w:p>
        </w:tc>
        <w:tc>
          <w:tcPr/>
          <w:p>
            <w:pPr>
              <w:pStyle w:val="Compact"/>
              <w:jc w:val="left"/>
            </w:pPr>
            <w:r>
              <w:t xml:space="preserve">3.2 (indeks orqali)</w:t>
            </w:r>
          </w:p>
        </w:tc>
        <w:tc>
          <w:tcPr/>
          <w:p>
            <w:pPr>
              <w:pStyle w:val="Compact"/>
              <w:jc w:val="left"/>
            </w:pPr>
            <w:r>
              <w:t xml:space="preserve">2.3 (tahlil bobida)</w:t>
            </w:r>
          </w:p>
        </w:tc>
        <w:tc>
          <w:tcPr/>
          <w:p>
            <w:pPr>
              <w:pStyle w:val="Compact"/>
              <w:jc w:val="left"/>
            </w:pPr>
            <w:r>
              <w:rPr>
                <w:bCs/>
                <w:b/>
              </w:rPr>
              <w:t xml:space="preserve">Ikkiga bo‘lindi:</w:t>
            </w:r>
            <w:r>
              <w:t xml:space="preserve"> </w:t>
            </w:r>
            <w:r>
              <w:t xml:space="preserve">2.3 — ko‘rsatkichlar darajasida, 3.2 — indeks darajasida</w:t>
            </w:r>
          </w:p>
        </w:tc>
        <w:tc>
          <w:tcPr/>
          <w:p>
            <w:pPr>
              <w:pStyle w:val="Compact"/>
              <w:jc w:val="left"/>
            </w:pPr>
            <w:r>
              <w:t xml:space="preserve">Indeks hali qurilmagan II bobda faqat ko‘rsatkichlarni solishtirish mumkin. Bu farq III bobdagi metodikaga «nima uchun kerak» degan asos bo‘ladi</w:t>
            </w:r>
          </w:p>
        </w:tc>
      </w:tr>
      <w:tr>
        <w:tc>
          <w:tcPr/>
          <w:p>
            <w:pPr>
              <w:pStyle w:val="Compact"/>
              <w:jc w:val="left"/>
            </w:pPr>
            <w:r>
              <w:t xml:space="preserve">III bob nomi</w:t>
            </w:r>
          </w:p>
        </w:tc>
        <w:tc>
          <w:tcPr/>
          <w:p>
            <w:pPr>
              <w:pStyle w:val="Compact"/>
              <w:jc w:val="left"/>
            </w:pPr>
            <w:r>
              <w:t xml:space="preserve">«Baholash metodikasi va uning ekonometrik asoslanishi»</w:t>
            </w:r>
          </w:p>
        </w:tc>
        <w:tc>
          <w:tcPr/>
          <w:p>
            <w:pPr>
              <w:pStyle w:val="Compact"/>
              <w:jc w:val="left"/>
            </w:pPr>
            <w:r>
              <w:t xml:space="preserve">«Xalqaro standartlarga asoslangan integral baholash metodikasi…»</w:t>
            </w:r>
          </w:p>
        </w:tc>
        <w:tc>
          <w:tcPr/>
          <w:p>
            <w:pPr>
              <w:pStyle w:val="Compact"/>
              <w:jc w:val="left"/>
            </w:pPr>
            <w:r>
              <w:rPr>
                <w:bCs/>
                <w:b/>
              </w:rPr>
              <w:t xml:space="preserve">2-variant</w:t>
            </w:r>
          </w:p>
        </w:tc>
        <w:tc>
          <w:tcPr/>
          <w:p>
            <w:pPr>
              <w:pStyle w:val="Compact"/>
              <w:jc w:val="left"/>
            </w:pPr>
            <w:r>
              <w:t xml:space="preserve">Integral indeks — ishning asosiy yangiligi, u bob nomida ko‘rinadi</w:t>
            </w:r>
          </w:p>
        </w:tc>
      </w:tr>
      <w:tr>
        <w:tc>
          <w:tcPr/>
          <w:p>
            <w:pPr>
              <w:pStyle w:val="Compact"/>
              <w:jc w:val="left"/>
            </w:pPr>
            <w:r>
              <w:t xml:space="preserve">3.2</w:t>
            </w:r>
          </w:p>
        </w:tc>
        <w:tc>
          <w:tcPr/>
          <w:p>
            <w:pPr>
              <w:pStyle w:val="Compact"/>
              <w:jc w:val="left"/>
            </w:pPr>
            <w:r>
              <w:t xml:space="preserve">Milliy va MHXS bo‘yicha qiyosiy baholash</w:t>
            </w:r>
          </w:p>
        </w:tc>
        <w:tc>
          <w:tcPr/>
          <w:p>
            <w:pPr>
              <w:pStyle w:val="Compact"/>
              <w:jc w:val="left"/>
            </w:pPr>
            <w:r>
              <w:t xml:space="preserve">Integral indeks metodikasi</w:t>
            </w:r>
          </w:p>
        </w:tc>
        <w:tc>
          <w:tcPr/>
          <w:p>
            <w:pPr>
              <w:pStyle w:val="Compact"/>
              <w:jc w:val="left"/>
            </w:pPr>
            <w:r>
              <w:rPr>
                <w:bCs/>
                <w:b/>
              </w:rPr>
              <w:t xml:space="preserve">Integral indeks asosida reyting baholash</w:t>
            </w:r>
          </w:p>
        </w:tc>
        <w:tc>
          <w:tcPr/>
          <w:p>
            <w:pPr>
              <w:pStyle w:val="Compact"/>
              <w:jc w:val="left"/>
            </w:pPr>
            <w:r>
              <w:t xml:space="preserve">3.1 da metodika, 3.2 da uning banklarga qo‘llanishi (shu jumladan SQB, MKB va ΔMBII)</w:t>
            </w:r>
          </w:p>
        </w:tc>
      </w:tr>
      <w:tr>
        <w:tc>
          <w:tcPr/>
          <w:p>
            <w:pPr>
              <w:pStyle w:val="Compact"/>
              <w:jc w:val="left"/>
            </w:pPr>
            <w:r>
              <w:t xml:space="preserve">IV bob nomi</w:t>
            </w:r>
          </w:p>
        </w:tc>
        <w:tc>
          <w:tcPr/>
          <w:p>
            <w:pPr>
              <w:pStyle w:val="Compact"/>
              <w:jc w:val="left"/>
            </w:pPr>
            <w:r>
              <w:t xml:space="preserve">«…metodologiyasini takomillashtirish yo‘nalishlari»</w:t>
            </w:r>
          </w:p>
        </w:tc>
        <w:tc>
          <w:tcPr/>
          <w:p>
            <w:pPr>
              <w:pStyle w:val="Compact"/>
              <w:jc w:val="left"/>
            </w:pPr>
            <w:r>
              <w:t xml:space="preserve">«…xalqaro standartlar asosida takomillashtirish yo‘nalishlari»</w:t>
            </w:r>
          </w:p>
        </w:tc>
        <w:tc>
          <w:tcPr/>
          <w:p>
            <w:pPr>
              <w:pStyle w:val="Compact"/>
              <w:jc w:val="left"/>
            </w:pPr>
            <w:r>
              <w:rPr>
                <w:bCs/>
                <w:b/>
              </w:rPr>
              <w:t xml:space="preserve">1-variant</w:t>
            </w:r>
          </w:p>
        </w:tc>
        <w:tc>
          <w:tcPr/>
          <w:p>
            <w:pPr>
              <w:pStyle w:val="Compact"/>
              <w:jc w:val="left"/>
            </w:pPr>
            <w:r>
              <w:t xml:space="preserve">2-variantdagi nom dissertatsiya mavzusini deyarli so‘zma-so‘z takrorlaydi</w:t>
            </w:r>
          </w:p>
        </w:tc>
      </w:tr>
      <w:tr>
        <w:tc>
          <w:tcPr/>
          <w:p>
            <w:pPr>
              <w:pStyle w:val="Compact"/>
              <w:jc w:val="left"/>
            </w:pPr>
            <w:r>
              <w:t xml:space="preserve">4.3</w:t>
            </w:r>
          </w:p>
        </w:tc>
        <w:tc>
          <w:tcPr/>
          <w:p>
            <w:pPr>
              <w:pStyle w:val="Compact"/>
              <w:jc w:val="left"/>
            </w:pPr>
            <w:r>
              <w:t xml:space="preserve">«…takomillashtirish yo‘nalishlari»</w:t>
            </w:r>
          </w:p>
        </w:tc>
        <w:tc>
          <w:tcPr/>
          <w:p>
            <w:pPr>
              <w:pStyle w:val="Compact"/>
              <w:jc w:val="left"/>
            </w:pPr>
            <w:r>
              <w:t xml:space="preserve">«…xalqaro standartlarga muvofiq takomillashtirish yo‘nalishlari»</w:t>
            </w:r>
          </w:p>
        </w:tc>
        <w:tc>
          <w:tcPr/>
          <w:p>
            <w:pPr>
              <w:pStyle w:val="Compact"/>
              <w:jc w:val="left"/>
            </w:pPr>
            <w:r>
              <w:rPr>
                <w:bCs/>
                <w:b/>
              </w:rPr>
              <w:t xml:space="preserve">«…muvofiqlashtirish bo‘yicha taklif va tavsiyalar»</w:t>
            </w:r>
          </w:p>
        </w:tc>
        <w:tc>
          <w:tcPr/>
          <w:p>
            <w:pPr>
              <w:pStyle w:val="Compact"/>
              <w:jc w:val="left"/>
            </w:pPr>
            <w:r>
              <w:t xml:space="preserve">Bob nomi ham «yo‘nalishlari» bilan tugaydi. Paragraf boshqacha nomlansa, takror bo‘lmaydi</w:t>
            </w:r>
          </w:p>
        </w:tc>
      </w:tr>
    </w:tbl>
    <w:p>
      <w:pPr>
        <w:pStyle w:val="BodyText"/>
      </w:pPr>
      <w:r>
        <w:rPr>
          <w:bCs/>
          <w:b/>
        </w:rPr>
        <w:t xml:space="preserve">«Xalqaro standartlar» iborasi</w:t>
      </w:r>
      <w:r>
        <w:t xml:space="preserve"> </w:t>
      </w:r>
      <w:r>
        <w:t xml:space="preserve">endi mavzu, I, II, III bob nomlari, 1.3, 2.1 va 4.3 da bor. Bu yetarli. 2-variantdagidek deyarli har bir sarlavhaga qo‘yilsa, ibora «shtamp»ga aylanadi. Shuning uchun 2.2 da umumiy «xalqaro standartlar» o‘rniga aniq mezon — «XVJ mezonlari» yozildi.</w:t>
      </w:r>
    </w:p>
    <w:bookmarkEnd w:id="22"/>
    <w:bookmarkStart w:id="23" w:name="mantiqiy-zanjir"/>
    <w:p>
      <w:pPr>
        <w:pStyle w:val="Heading1"/>
      </w:pPr>
      <w:r>
        <w:t xml:space="preserve">2. Mantiqiy zanjir</w:t>
      </w:r>
    </w:p>
    <w:p>
      <w:pPr>
        <w:numPr>
          <w:ilvl w:val="0"/>
          <w:numId w:val="1001"/>
        </w:numPr>
        <w:pStyle w:val="Compact"/>
      </w:pPr>
      <w:r>
        <w:rPr>
          <w:bCs/>
          <w:b/>
        </w:rPr>
        <w:t xml:space="preserve">I bob — «nima» va «nima bilan»:</w:t>
      </w:r>
      <w:r>
        <w:t xml:space="preserve"> </w:t>
      </w:r>
      <w:r>
        <w:t xml:space="preserve">barqarorlik tushunchasi → baholash yondashuvlari → xalqaro standartlar (o‘lchov mezoni).</w:t>
      </w:r>
    </w:p>
    <w:p>
      <w:pPr>
        <w:numPr>
          <w:ilvl w:val="0"/>
          <w:numId w:val="1001"/>
        </w:numPr>
        <w:pStyle w:val="Compact"/>
      </w:pPr>
      <w:r>
        <w:rPr>
          <w:bCs/>
          <w:b/>
        </w:rPr>
        <w:t xml:space="preserve">II bob — «qanday holatda»:</w:t>
      </w:r>
      <w:r>
        <w:t xml:space="preserve"> </w:t>
      </w:r>
      <w:r>
        <w:t xml:space="preserve">O‘zbekiston amaliyoti shu mezonlarga solishtiriladi va muammolar aniqlanadi (2.1). Ko‘rsatkichlar dinamikasi (2.2) va hisobot standartiga qarab natijalar farqi (2.3) ko‘rsatiladi.</w:t>
      </w:r>
    </w:p>
    <w:p>
      <w:pPr>
        <w:numPr>
          <w:ilvl w:val="0"/>
          <w:numId w:val="1001"/>
        </w:numPr>
        <w:pStyle w:val="Compact"/>
      </w:pPr>
      <w:r>
        <w:rPr>
          <w:bCs/>
          <w:b/>
        </w:rPr>
        <w:t xml:space="preserve">III bob — «muallif taklifi»:</w:t>
      </w:r>
      <w:r>
        <w:t xml:space="preserve"> </w:t>
      </w:r>
      <w:r>
        <w:t xml:space="preserve">II bobda aniqlangan muammolarni hal qiluvchi integral indeks (3.1), uni banklarga qo‘llash (3.2) va omillarini ekonometrik isbotlash (3.3).</w:t>
      </w:r>
    </w:p>
    <w:p>
      <w:pPr>
        <w:numPr>
          <w:ilvl w:val="0"/>
          <w:numId w:val="1001"/>
        </w:numPr>
        <w:pStyle w:val="Compact"/>
      </w:pPr>
      <w:r>
        <w:rPr>
          <w:bCs/>
          <w:b/>
        </w:rPr>
        <w:t xml:space="preserve">IV bob — «istiqbol va amaliyot»:</w:t>
      </w:r>
      <w:r>
        <w:t xml:space="preserve"> </w:t>
      </w:r>
      <w:r>
        <w:t xml:space="preserve">indeks asosida erta ogohlantirish (4.1), prognoz (4.2) va regulyatorga takliflar (4.3).</w:t>
      </w:r>
    </w:p>
    <w:p>
      <w:pPr>
        <w:pStyle w:val="FirstParagraph"/>
      </w:pPr>
      <w:r>
        <w:t xml:space="preserve">Har bir keyingi bob oldingi bob natijasidan kelib chiqadi. Ekspert kengashi aynan shu bog‘liqlikni tekshiradi.</w:t>
      </w:r>
    </w:p>
    <w:bookmarkEnd w:id="23"/>
    <w:bookmarkStart w:id="28" w:name="paragraflar-mazmuni-va-manbalari"/>
    <w:p>
      <w:pPr>
        <w:pStyle w:val="Heading1"/>
      </w:pPr>
      <w:r>
        <w:t xml:space="preserve">3. Paragraflar mazmuni va manbalari</w:t>
      </w:r>
    </w:p>
    <w:bookmarkStart w:id="24" w:name="i-bob"/>
    <w:p>
      <w:pPr>
        <w:pStyle w:val="Heading2"/>
      </w:pPr>
      <w:r>
        <w:t xml:space="preserve">I BOB</w:t>
      </w:r>
    </w:p>
    <w:p>
      <w:pPr>
        <w:pStyle w:val="FirstParagraph"/>
      </w:pPr>
      <w:r>
        <w:rPr>
          <w:bCs/>
          <w:b/>
        </w:rPr>
        <w:t xml:space="preserve">1.1-§. Iqtisodiy mazmuni va ilmiy qarashlar.</w:t>
      </w:r>
      <w:r>
        <w:t xml:space="preserve"> </w:t>
      </w:r>
      <w:r>
        <w:t xml:space="preserve">Mazmuni: «moliyaviy barqarorlik», «moliyaviy holat», «stabillik» tushunchalarining farqi; barqarorlik turlari; tashqi va ichki omillar; bank va bank tizimi barqarorligi farqi; muallif ta’rifi.</w:t>
      </w:r>
      <w:r>
        <w:t xml:space="preserve"> </w:t>
      </w:r>
      <w:r>
        <w:t xml:space="preserve">Manbalar:</w:t>
      </w:r>
    </w:p>
    <w:p>
      <w:pPr>
        <w:numPr>
          <w:ilvl w:val="0"/>
          <w:numId w:val="1002"/>
        </w:numPr>
        <w:pStyle w:val="Compact"/>
      </w:pPr>
      <w:r>
        <w:t xml:space="preserve">Lavrushin, Mamonova (2011): barqarorlik va stabillik farqi (p.14–15), barqarorlik turlari (rasm 1.1, p.20), ta’rif (p.24), 10 ta tashqi va 9 ta ichki omil (p.31–41), bank va tizim (p.41–45).</w:t>
      </w:r>
    </w:p>
    <w:p>
      <w:pPr>
        <w:numPr>
          <w:ilvl w:val="0"/>
          <w:numId w:val="1002"/>
        </w:numPr>
        <w:pStyle w:val="Compact"/>
      </w:pPr>
      <w:r>
        <w:t xml:space="preserve">Lavrushin (red., 2014) «Устойчивость банковской системы…»: tizim darajasi.</w:t>
      </w:r>
    </w:p>
    <w:p>
      <w:pPr>
        <w:numPr>
          <w:ilvl w:val="0"/>
          <w:numId w:val="1002"/>
        </w:numPr>
        <w:pStyle w:val="Compact"/>
      </w:pPr>
      <w:r>
        <w:t xml:space="preserve">O‘zbek mualliflari (Berdiyarov, Karaliyev va Sayfiddinov) ta’riflari bilan qiyoslab,</w:t>
      </w:r>
      <w:r>
        <w:t xml:space="preserve"> </w:t>
      </w:r>
      <w:r>
        <w:rPr>
          <w:bCs/>
          <w:b/>
        </w:rPr>
        <w:t xml:space="preserve">muallif ta’rifi</w:t>
      </w:r>
      <w:r>
        <w:t xml:space="preserve"> </w:t>
      </w:r>
      <w:r>
        <w:t xml:space="preserve">beriladi. Bu himoyaga chiqariladigan nazariy natijalardan biri bo‘ladi.</w:t>
      </w:r>
    </w:p>
    <w:p>
      <w:pPr>
        <w:pStyle w:val="FirstParagraph"/>
      </w:pPr>
      <w:r>
        <w:rPr>
          <w:bCs/>
          <w:b/>
        </w:rPr>
        <w:t xml:space="preserve">1.2-§. Nazariy asoslari va metodologik yondashuvlar tasnifi.</w:t>
      </w:r>
      <w:r>
        <w:t xml:space="preserve"> </w:t>
      </w:r>
      <w:r>
        <w:t xml:space="preserve">Mazmuni: baholash zarurati (depozitorlar, regulyator, investorlar); baholash tizimi elementlari (sub’ekt, ob’ekt, mexanizm); yondashuvlar tasnifi — koeffitsiyentli, reyting (CAMELS), risk modellari (BAITE), statistik (logit/probit, FIMS), integral indeks; har birining kuchli va zaif tomonlari.</w:t>
      </w:r>
      <w:r>
        <w:t xml:space="preserve"> </w:t>
      </w:r>
      <w:r>
        <w:t xml:space="preserve">Manbalar:</w:t>
      </w:r>
    </w:p>
    <w:p>
      <w:pPr>
        <w:numPr>
          <w:ilvl w:val="0"/>
          <w:numId w:val="1003"/>
        </w:numPr>
        <w:pStyle w:val="Compact"/>
      </w:pPr>
      <w:r>
        <w:t xml:space="preserve">Lavrushin, Mamonova: baholash elementlari (p.48–52), modellar tasnifi (p.54–57), yig‘ma baho va vaznlarning sub’ektivligi (p.65–69).</w:t>
      </w:r>
    </w:p>
    <w:p>
      <w:pPr>
        <w:numPr>
          <w:ilvl w:val="0"/>
          <w:numId w:val="1003"/>
        </w:numPr>
        <w:pStyle w:val="Compact"/>
      </w:pPr>
      <w:r>
        <w:t xml:space="preserve">Shatalova (2020): ikki bosqichli ball modeli Z = Σ vazn × Σ(ko‘rsatkich vazni × ball) (p.53).</w:t>
      </w:r>
    </w:p>
    <w:p>
      <w:pPr>
        <w:numPr>
          <w:ilvl w:val="0"/>
          <w:numId w:val="1003"/>
        </w:numPr>
        <w:pStyle w:val="Compact"/>
      </w:pPr>
      <w:r>
        <w:t xml:space="preserve">Karminsky (2015): reyting modellarining tasnifi.</w:t>
      </w:r>
    </w:p>
    <w:p>
      <w:pPr>
        <w:pStyle w:val="FirstParagraph"/>
      </w:pPr>
      <w:r>
        <w:rPr>
          <w:bCs/>
          <w:b/>
        </w:rPr>
        <w:t xml:space="preserve">1.3-§. Xalqaro standartlar va ularning qiyosiy tavsifi.</w:t>
      </w:r>
      <w:r>
        <w:t xml:space="preserve"> </w:t>
      </w:r>
      <w:r>
        <w:t xml:space="preserve">Mazmuni: Bazel III (kapital, leverage 3%, LCR, NSFR, kontrsiklik bufer), MHXS 9 (kutilayotgan kredit zararlari), CAMELS, XVJ FSI ro‘yxati, BAITE, reyting agentliklari (Moody’s, S&amp;P, Fitch, ACRA). Yakunida qiyosiy jadval.</w:t>
      </w:r>
      <w:r>
        <w:t xml:space="preserve"> </w:t>
      </w:r>
      <w:r>
        <w:t xml:space="preserve">Manbalar:</w:t>
      </w:r>
    </w:p>
    <w:p>
      <w:pPr>
        <w:numPr>
          <w:ilvl w:val="0"/>
          <w:numId w:val="1004"/>
        </w:numPr>
        <w:pStyle w:val="Compact"/>
      </w:pPr>
      <w:r>
        <w:t xml:space="preserve">Tarullo (2008) — Bazel yondashuvining tanqidiy tahlili.</w:t>
      </w:r>
    </w:p>
    <w:p>
      <w:pPr>
        <w:numPr>
          <w:ilvl w:val="0"/>
          <w:numId w:val="1004"/>
        </w:numPr>
        <w:pStyle w:val="Compact"/>
      </w:pPr>
      <w:r>
        <w:t xml:space="preserve">Modina (2015) — Bazel II/III talablari.</w:t>
      </w:r>
      <w:r>
        <w:t xml:space="preserve"> </w:t>
      </w:r>
      <w:r>
        <w:rPr>
          <w:iCs/>
          <w:i/>
        </w:rPr>
        <w:t xml:space="preserve">Diqqat:</w:t>
      </w:r>
      <w:r>
        <w:t xml:space="preserve"> </w:t>
      </w:r>
      <w:r>
        <w:t xml:space="preserve">IRB korrelyatsiya formulasi kitobda xato bosilgan, kontrsiklik bufer 0–2,5% oraliq (kitobda 2,5% deb berilgan) — BCBS asl matni bilan tekshiring.</w:t>
      </w:r>
    </w:p>
    <w:p>
      <w:pPr>
        <w:numPr>
          <w:ilvl w:val="0"/>
          <w:numId w:val="1004"/>
        </w:numPr>
        <w:pStyle w:val="Compact"/>
      </w:pPr>
      <w:r>
        <w:t xml:space="preserve">Lavrushin, Mamonova: CAMELS chegaralari (jadval 3.1–3.3), BAITE (jadval 3.4–3.5).</w:t>
      </w:r>
    </w:p>
    <w:p>
      <w:pPr>
        <w:numPr>
          <w:ilvl w:val="0"/>
          <w:numId w:val="1004"/>
        </w:numPr>
        <w:pStyle w:val="Compact"/>
      </w:pPr>
      <w:r>
        <w:t xml:space="preserve">Afanasyeva, Dubova: XVJ va YeMB indikatorlari, FSAP «risk xaritasi», kontrsiklik bufer formulasi (p.68–70).</w:t>
      </w:r>
    </w:p>
    <w:p>
      <w:pPr>
        <w:numPr>
          <w:ilvl w:val="0"/>
          <w:numId w:val="1004"/>
        </w:numPr>
        <w:pStyle w:val="Compact"/>
      </w:pPr>
      <w:r>
        <w:t xml:space="preserve">Langohr &amp; Langohr (2008), Karminsky (2015), Shatalova (ACRA tuzilmasi, p.43–46) — reyting agentliklari.</w:t>
      </w:r>
    </w:p>
    <w:p>
      <w:pPr>
        <w:numPr>
          <w:ilvl w:val="0"/>
          <w:numId w:val="1004"/>
        </w:numPr>
        <w:pStyle w:val="Compact"/>
      </w:pPr>
      <w:r>
        <w:t xml:space="preserve">Tayyor material: eski 1.2 (Bazel III va MHXS 9).</w:t>
      </w:r>
    </w:p>
    <w:bookmarkEnd w:id="24"/>
    <w:bookmarkStart w:id="25" w:name="ii-bob"/>
    <w:p>
      <w:pPr>
        <w:pStyle w:val="Heading2"/>
      </w:pPr>
      <w:r>
        <w:t xml:space="preserve">II BOB</w:t>
      </w:r>
    </w:p>
    <w:p>
      <w:pPr>
        <w:pStyle w:val="FirstParagraph"/>
      </w:pPr>
      <w:r>
        <w:rPr>
          <w:bCs/>
          <w:b/>
        </w:rPr>
        <w:t xml:space="preserve">2.1-§. Amaldagi holat va xalqaro standartlarga moslashtirish muammolari.</w:t>
      </w:r>
      <w:r>
        <w:t xml:space="preserve"> </w:t>
      </w:r>
      <w:r>
        <w:t xml:space="preserve">Mazmuni: Markaziy bank normativlari va CAMELS tizimi (1997–1998-yillardan); Bazel III ni bosqichma-bosqich joriy etish; MHXS ga o‘tish;</w:t>
      </w:r>
      <w:r>
        <w:t xml:space="preserve"> </w:t>
      </w:r>
      <w:r>
        <w:rPr>
          <w:bCs/>
          <w:b/>
        </w:rPr>
        <w:t xml:space="preserve">«gap-tahlil»</w:t>
      </w:r>
      <w:r>
        <w:t xml:space="preserve"> </w:t>
      </w:r>
      <w:r>
        <w:t xml:space="preserve">jadvali: xalqaro talab — O‘zbekistondagi holat — farq. Muammolar shu yerda ochiladi (IV bobga qoldirilmaydi).</w:t>
      </w:r>
      <w:r>
        <w:t xml:space="preserve"> </w:t>
      </w:r>
      <w:r>
        <w:t xml:space="preserve">Manbalar:</w:t>
      </w:r>
    </w:p>
    <w:p>
      <w:pPr>
        <w:numPr>
          <w:ilvl w:val="0"/>
          <w:numId w:val="1005"/>
        </w:numPr>
        <w:pStyle w:val="Compact"/>
      </w:pPr>
      <w:r>
        <w:t xml:space="preserve">Karaliyev, Sayfiddinov (2019): CAMEL joriy etilishi (p.208), omil vaznlari belgilanmaganligi, C 23 / A 37 / E 25 / L 15 (p.213), Bazel III LCR/NSFR bosqichlari (p.185–186).</w:t>
      </w:r>
    </w:p>
    <w:p>
      <w:pPr>
        <w:numPr>
          <w:ilvl w:val="0"/>
          <w:numId w:val="1005"/>
        </w:numPr>
        <w:pStyle w:val="Compact"/>
      </w:pPr>
      <w:r>
        <w:t xml:space="preserve">Berdiyarov (2020): milliy normativlar (joriy likvidlik ≥30%, LCR/NSFR ≥100%, Tier 1 ≥75%).</w:t>
      </w:r>
    </w:p>
    <w:p>
      <w:pPr>
        <w:numPr>
          <w:ilvl w:val="0"/>
          <w:numId w:val="1005"/>
        </w:numPr>
        <w:pStyle w:val="Compact"/>
      </w:pPr>
      <w:r>
        <w:t xml:space="preserve">«Bazel III ga muvofiqlashtirish» kitobi (KNORUS): ICAAP ni bosqichma-bosqich joriy etish (p.61–67), nazorat rejimlari (p.105).</w:t>
      </w:r>
    </w:p>
    <w:p>
      <w:pPr>
        <w:pStyle w:val="FirstParagraph"/>
      </w:pPr>
      <w:r>
        <w:rPr>
          <w:bCs/>
          <w:b/>
        </w:rPr>
        <w:t xml:space="preserve">2.2-§. Ko‘rsatkichlar dinamikasining XVJ mezonlari asosidagi tahlili.</w:t>
      </w:r>
      <w:r>
        <w:t xml:space="preserve"> </w:t>
      </w:r>
      <w:r>
        <w:t xml:space="preserve">Mazmuni: 2021–2025-yillar uchun XVJ FSI ko‘rsatkichlari (kapital yetarliligi, NPL, ROA/ROE, likvidlik, valyuta pozitsiyasi) dinamikasi; mintaqa davlatlari bilan solishtirish.</w:t>
      </w:r>
      <w:r>
        <w:t xml:space="preserve"> </w:t>
      </w:r>
      <w:r>
        <w:t xml:space="preserve">Manbalar: Markaziy bank sharhlari, XVJ FSI bazasi (tayyor), Berdiyarov (24 ta XVJ indikatori, p.18–19).</w:t>
      </w:r>
    </w:p>
    <w:p>
      <w:pPr>
        <w:pStyle w:val="BodyText"/>
      </w:pPr>
      <w:r>
        <w:rPr>
          <w:bCs/>
          <w:b/>
        </w:rPr>
        <w:t xml:space="preserve">2.3-§. Milliy va MHXS hisobotlari bo‘yicha qiyosiy tahlil.</w:t>
      </w:r>
      <w:r>
        <w:t xml:space="preserve"> </w:t>
      </w:r>
      <w:r>
        <w:t xml:space="preserve">Mazmuni: bir xil banklar uchun kapital, kreditlar, zaxiralar va foyda ko‘rsatkichlari ikki hisobotda qanday farq qilishi; farq sabablari (MHXS 9 bo‘yicha zaxiralar, banklararo kreditlarni tasniflash va h.k.).</w:t>
      </w:r>
      <w:r>
        <w:t xml:space="preserve"> </w:t>
      </w:r>
      <w:r>
        <w:t xml:space="preserve">Manbalar: Sokolinskaya — bitta bank milliy hisobotda 63,7 mlrd rubl zarar, MHXS bo‘yicha 4,35 mlrd rubl foyda (p.85–87); MHXS 9 bo‘yicha zaxiralar ikki baravar oshishi (p.108).</w:t>
      </w:r>
      <w:r>
        <w:t xml:space="preserve"> </w:t>
      </w:r>
      <w:r>
        <w:t xml:space="preserve">Natija: «hisobot standartiga qarab barqarorlik bahosi o‘zgaradi» degan xulosa → III bobdagi metodikaga asos.</w:t>
      </w:r>
    </w:p>
    <w:bookmarkEnd w:id="25"/>
    <w:bookmarkStart w:id="26" w:name="iii-bob"/>
    <w:p>
      <w:pPr>
        <w:pStyle w:val="Heading2"/>
      </w:pPr>
      <w:r>
        <w:t xml:space="preserve">III BOB</w:t>
      </w:r>
    </w:p>
    <w:p>
      <w:pPr>
        <w:pStyle w:val="FirstParagraph"/>
      </w:pPr>
      <w:r>
        <w:rPr>
          <w:bCs/>
          <w:b/>
        </w:rPr>
        <w:t xml:space="preserve">3.1-§. Integral indeks asosida baholashning takomillashtirilgan metodikasi.</w:t>
      </w:r>
      <w:r>
        <w:t xml:space="preserve"> </w:t>
      </w:r>
      <w:r>
        <w:rPr>
          <w:iCs/>
          <w:i/>
        </w:rPr>
        <w:t xml:space="preserve">(ishning markaziy paragrafi)</w:t>
      </w:r>
      <w:r>
        <w:t xml:space="preserve"> </w:t>
      </w:r>
      <w:r>
        <w:t xml:space="preserve">Mazmuni: ko‘rsatkichlar tanlovi (Bazel III + XVJ FSI + MHXS 9 ga mos); 1–4 ballik shkala va chegaralar; blok vaznlari va ularni asoslash; integral indeks formulasi; matnda «moliyaviy barqarorlikning integral indeksi (keyingi o‘rinlarda — MBII)» deb kiritiladi.</w:t>
      </w:r>
      <w:r>
        <w:t xml:space="preserve"> </w:t>
      </w:r>
      <w:r>
        <w:t xml:space="preserve">Manbalar:</w:t>
      </w:r>
    </w:p>
    <w:p>
      <w:pPr>
        <w:numPr>
          <w:ilvl w:val="0"/>
          <w:numId w:val="1006"/>
        </w:numPr>
        <w:pStyle w:val="Compact"/>
      </w:pPr>
      <w:r>
        <w:t xml:space="preserve">Lavrushin, Mamonova: Rossiya Banki 2005-U/4336-U jadvallari (4.1–4.8) — ballik shkala namunasi; «normativ = 4 ball chegarasi» tamoyili.</w:t>
      </w:r>
    </w:p>
    <w:p>
      <w:pPr>
        <w:numPr>
          <w:ilvl w:val="0"/>
          <w:numId w:val="1006"/>
        </w:numPr>
        <w:pStyle w:val="Compact"/>
      </w:pPr>
      <w:r>
        <w:t xml:space="preserve">Karaliyev, Sayfiddinov: CAMEL vaznlari — MBII blok vaznlari bilan solishtirish uchun.</w:t>
      </w:r>
    </w:p>
    <w:p>
      <w:pPr>
        <w:numPr>
          <w:ilvl w:val="0"/>
          <w:numId w:val="1006"/>
        </w:numPr>
        <w:pStyle w:val="Compact"/>
      </w:pPr>
      <w:r>
        <w:t xml:space="preserve">Bunday indeks o‘zbek mualliflarida yo‘qligi (Berdiyarov, Karaliyev ko‘rsatkichlarni alohida tahlil qiladi) —</w:t>
      </w:r>
      <w:r>
        <w:t xml:space="preserve"> </w:t>
      </w:r>
      <w:r>
        <w:rPr>
          <w:bCs/>
          <w:b/>
        </w:rPr>
        <w:t xml:space="preserve">ilmiy yangilikning dalili</w:t>
      </w:r>
      <w:r>
        <w:t xml:space="preserve">.</w:t>
      </w:r>
    </w:p>
    <w:p>
      <w:pPr>
        <w:numPr>
          <w:ilvl w:val="0"/>
          <w:numId w:val="1006"/>
        </w:numPr>
        <w:pStyle w:val="Compact"/>
      </w:pPr>
      <w:r>
        <w:t xml:space="preserve">Tayyor material: eski 4.2 dagi MBII metodikasi.</w:t>
      </w:r>
    </w:p>
    <w:p>
      <w:pPr>
        <w:pStyle w:val="FirstParagraph"/>
      </w:pPr>
      <w:r>
        <w:rPr>
          <w:bCs/>
          <w:b/>
        </w:rPr>
        <w:t xml:space="preserve">3.2-§. Integral indeks asosida reyting baholash.</w:t>
      </w:r>
      <w:r>
        <w:t xml:space="preserve"> </w:t>
      </w:r>
      <w:r>
        <w:t xml:space="preserve">Mazmuni: banklar reytingi; milliy va MHXS hisobotlari bo‘yicha indeks farqi (ΔMBII); davlat banklari (SQB, MKB) misoli.</w:t>
      </w:r>
      <w:r>
        <w:t xml:space="preserve"> </w:t>
      </w:r>
      <w:r>
        <w:t xml:space="preserve">Tayyor material: eski 4.2 dagi reyting, SQB va MKB tahlili.</w:t>
      </w:r>
    </w:p>
    <w:p>
      <w:pPr>
        <w:pStyle w:val="BodyText"/>
      </w:pPr>
      <w:r>
        <w:rPr>
          <w:bCs/>
          <w:b/>
        </w:rPr>
        <w:t xml:space="preserve">3.3-§. Omillarning ekonometrik tahlili.</w:t>
      </w:r>
      <w:r>
        <w:t xml:space="preserve"> </w:t>
      </w:r>
      <w:r>
        <w:t xml:space="preserve">Manbalar: Berdiyarov ekonometrikasi (p.144) — solishtirish uchun; Izzi va boshqalar (2012), Chiaramonte–Poli.</w:t>
      </w:r>
      <w:r>
        <w:t xml:space="preserve"> </w:t>
      </w:r>
      <w:r>
        <w:t xml:space="preserve">Tayyor material: eski 4.1 (deyarli to‘liq mos).</w:t>
      </w:r>
    </w:p>
    <w:bookmarkEnd w:id="26"/>
    <w:bookmarkStart w:id="27" w:name="iv-bob"/>
    <w:p>
      <w:pPr>
        <w:pStyle w:val="Heading2"/>
      </w:pPr>
      <w:r>
        <w:t xml:space="preserve">IV BOB</w:t>
      </w:r>
    </w:p>
    <w:p>
      <w:pPr>
        <w:pStyle w:val="FirstParagraph"/>
      </w:pPr>
      <w:r>
        <w:rPr>
          <w:bCs/>
          <w:b/>
        </w:rPr>
        <w:t xml:space="preserve">4.1-§. Erta ogohlantirish tizimi.</w:t>
      </w:r>
      <w:r>
        <w:t xml:space="preserve"> </w:t>
      </w:r>
      <w:r>
        <w:t xml:space="preserve">Mazmuni: indeks va Bazel signallari (chegaraviy qiymatlar); indeksning bashorat kuchini tekshirish (probit/logit, I va II tur xatolari, AUROC, Gini, Z-score bilan solishtirish).</w:t>
      </w:r>
      <w:r>
        <w:t xml:space="preserve"> </w:t>
      </w:r>
      <w:r>
        <w:t xml:space="preserve">Manbalar:</w:t>
      </w:r>
    </w:p>
    <w:p>
      <w:pPr>
        <w:numPr>
          <w:ilvl w:val="0"/>
          <w:numId w:val="1007"/>
        </w:numPr>
        <w:pStyle w:val="Compact"/>
      </w:pPr>
      <w:r>
        <w:t xml:space="preserve">Lavrushin, Mamonova: erta ogohlantirish signallari, jumladan NPL &gt;5% (p.45); FIMS natijalari (74,6% to‘g‘ri bashorat, chegarani 2,5 dan 2,3 ga tushirish).</w:t>
      </w:r>
    </w:p>
    <w:p>
      <w:pPr>
        <w:numPr>
          <w:ilvl w:val="0"/>
          <w:numId w:val="1007"/>
        </w:numPr>
        <w:pStyle w:val="Compact"/>
      </w:pPr>
      <w:r>
        <w:t xml:space="preserve">Berdiyarov: kapital o‘sishi va RWA o‘sishini solishtirish g‘oyasi (p.25).</w:t>
      </w:r>
    </w:p>
    <w:p>
      <w:pPr>
        <w:numPr>
          <w:ilvl w:val="0"/>
          <w:numId w:val="1007"/>
        </w:numPr>
        <w:pStyle w:val="Compact"/>
      </w:pPr>
      <w:r>
        <w:t xml:space="preserve">Afanasyeva, Dubova: kredit/YaIM gap signali (p.70).</w:t>
      </w:r>
    </w:p>
    <w:p>
      <w:pPr>
        <w:numPr>
          <w:ilvl w:val="0"/>
          <w:numId w:val="1007"/>
        </w:numPr>
        <w:pStyle w:val="Compact"/>
      </w:pPr>
      <w:r>
        <w:t xml:space="preserve">Karminsky, Izzi, Chiaramonte–Poli — bashorat kuchini tekshirish metodikasi.</w:t>
      </w:r>
    </w:p>
    <w:p>
      <w:pPr>
        <w:pStyle w:val="FirstParagraph"/>
      </w:pPr>
      <w:r>
        <w:rPr>
          <w:bCs/>
          <w:b/>
        </w:rPr>
        <w:t xml:space="preserve">4.2-§. O‘rta muddatli istiqbolda prognozlash.</w:t>
      </w:r>
      <w:r>
        <w:t xml:space="preserve"> </w:t>
      </w:r>
      <w:r>
        <w:t xml:space="preserve">Mazmuni: baza, stress va optimistik ssenariylar; 2026–2028-yillar matn va jadvallarda beriladi.</w:t>
      </w:r>
      <w:r>
        <w:t xml:space="preserve"> </w:t>
      </w:r>
      <w:r>
        <w:t xml:space="preserve">Yangilik dalili: Berdiyarov faqat bitta likvidlik ko‘rsatkichini ARIMA bilan prognoz qilgan (p.146) — sizda integral indeksning ssenariyli prognozi.</w:t>
      </w:r>
      <w:r>
        <w:t xml:space="preserve"> </w:t>
      </w:r>
      <w:r>
        <w:t xml:space="preserve">Tayyor material: eski 4.3.</w:t>
      </w:r>
    </w:p>
    <w:p>
      <w:pPr>
        <w:pStyle w:val="BodyText"/>
      </w:pPr>
      <w:r>
        <w:rPr>
          <w:bCs/>
          <w:b/>
        </w:rPr>
        <w:t xml:space="preserve">4.3-§. Taklif va tavsiyalar.</w:t>
      </w:r>
      <w:r>
        <w:t xml:space="preserve"> </w:t>
      </w:r>
      <w:r>
        <w:t xml:space="preserve">Mazmuni: Markaziy bankka (indeksni nazorat amaliyotiga kiritish, MHXS asosidagi hisobotga o‘tish, ICAAP), tijorat banklariga (ichki baholash, stress-test), reyting agentliklariga takliflar. Har bir taklif oldingi boblardagi aniq natijaga tayanishi kerak.</w:t>
      </w:r>
    </w:p>
    <w:bookmarkEnd w:id="27"/>
    <w:bookmarkEnd w:id="28"/>
    <w:bookmarkStart w:id="29" w:name="tayyorlik-holati"/>
    <w:p>
      <w:pPr>
        <w:pStyle w:val="Heading1"/>
      </w:pPr>
      <w:r>
        <w:t xml:space="preserve">4. Tayyorlik holati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Paragraf</w:t>
            </w:r>
          </w:p>
        </w:tc>
        <w:tc>
          <w:tcPr/>
          <w:p>
            <w:pPr>
              <w:pStyle w:val="Compact"/>
              <w:jc w:val="left"/>
            </w:pPr>
            <w:r>
              <w:t xml:space="preserve">Holati</w:t>
            </w:r>
          </w:p>
        </w:tc>
      </w:tr>
      <w:tr>
        <w:tc>
          <w:tcPr/>
          <w:p>
            <w:pPr>
              <w:pStyle w:val="Compact"/>
              <w:jc w:val="left"/>
            </w:pPr>
            <w:r>
              <w:t xml:space="preserve">3.3, 4.2</w:t>
            </w:r>
          </w:p>
        </w:tc>
        <w:tc>
          <w:tcPr/>
          <w:p>
            <w:pPr>
              <w:pStyle w:val="Compact"/>
              <w:jc w:val="left"/>
            </w:pPr>
            <w:r>
              <w:t xml:space="preserve">Tayyor (eski 4.1 va 4.3)</w:t>
            </w:r>
          </w:p>
        </w:tc>
      </w:tr>
      <w:tr>
        <w:tc>
          <w:tcPr/>
          <w:p>
            <w:pPr>
              <w:pStyle w:val="Compact"/>
              <w:jc w:val="left"/>
            </w:pPr>
            <w:r>
              <w:t xml:space="preserve">3.1, 3.2, 4.1</w:t>
            </w:r>
          </w:p>
        </w:tc>
        <w:tc>
          <w:tcPr/>
          <w:p>
            <w:pPr>
              <w:pStyle w:val="Compact"/>
              <w:jc w:val="left"/>
            </w:pPr>
            <w:r>
              <w:t xml:space="preserve">Asosi tayyor (eski 4.2 va SQB/MKB tahlili)</w:t>
            </w:r>
          </w:p>
        </w:tc>
      </w:tr>
      <w:tr>
        <w:tc>
          <w:tcPr/>
          <w:p>
            <w:pPr>
              <w:pStyle w:val="Compact"/>
              <w:jc w:val="left"/>
            </w:pPr>
            <w:r>
              <w:t xml:space="preserve">1.3, 2.2</w:t>
            </w:r>
          </w:p>
        </w:tc>
        <w:tc>
          <w:tcPr/>
          <w:p>
            <w:pPr>
              <w:pStyle w:val="Compact"/>
              <w:jc w:val="left"/>
            </w:pPr>
            <w:r>
              <w:t xml:space="preserve">Asosi va ma’lumotlari tayyor</w:t>
            </w:r>
          </w:p>
        </w:tc>
      </w:tr>
      <w:tr>
        <w:tc>
          <w:tcPr/>
          <w:p>
            <w:pPr>
              <w:pStyle w:val="Compact"/>
              <w:jc w:val="left"/>
            </w:pPr>
            <w:r>
              <w:t xml:space="preserve">1.1, 1.2, 2.1, 2.3, 4.3</w:t>
            </w:r>
          </w:p>
        </w:tc>
        <w:tc>
          <w:tcPr/>
          <w:p>
            <w:pPr>
              <w:pStyle w:val="Compact"/>
              <w:jc w:val="left"/>
            </w:pPr>
            <w:r>
              <w:t xml:space="preserve">Yozilishi kerak, manbalari yuqorida ko‘rsatilgan</w:t>
            </w:r>
          </w:p>
        </w:tc>
      </w:tr>
    </w:tbl>
    <w:bookmarkEnd w:id="29"/>
    <w:bookmarkStart w:id="30" w:name="maslahatlar"/>
    <w:p>
      <w:pPr>
        <w:pStyle w:val="Heading1"/>
      </w:pPr>
      <w:r>
        <w:t xml:space="preserve">5. Maslahatlar</w:t>
      </w:r>
    </w:p>
    <w:p>
      <w:pPr>
        <w:numPr>
          <w:ilvl w:val="0"/>
          <w:numId w:val="1008"/>
        </w:numPr>
        <w:pStyle w:val="Compact"/>
      </w:pPr>
      <w:r>
        <w:rPr>
          <w:bCs/>
          <w:b/>
        </w:rPr>
        <w:t xml:space="preserve">Ishni 3.1 dan boshlab yozing.</w:t>
      </w:r>
      <w:r>
        <w:t xml:space="preserve"> </w:t>
      </w:r>
      <w:r>
        <w:t xml:space="preserve">Butun dissertatsiya integral indeks atrofida quriladi. 3.1 ning ko‘rsatkichlari va vaznlari aniq bo‘lsa, 1.3 va 2.1 da nimani ta’kidlash kerakligi o‘z-o‘zidan ko‘rinadi.</w:t>
      </w:r>
    </w:p>
    <w:p>
      <w:pPr>
        <w:numPr>
          <w:ilvl w:val="0"/>
          <w:numId w:val="1008"/>
        </w:numPr>
        <w:pStyle w:val="Compact"/>
      </w:pPr>
      <w:r>
        <w:rPr>
          <w:bCs/>
          <w:b/>
        </w:rPr>
        <w:t xml:space="preserve">Muammolarni II bobda ayting.</w:t>
      </w:r>
      <w:r>
        <w:t xml:space="preserve"> </w:t>
      </w:r>
      <w:r>
        <w:t xml:space="preserve">2.1 dagi har bir muammo uchun III–IV boblarda yechim bo‘lishi kerak. Oddiy usul: «muammo → yechim → paragraf» jadvalini tuzib, Kirish va Xulosada ishlating.</w:t>
      </w:r>
    </w:p>
    <w:p>
      <w:pPr>
        <w:numPr>
          <w:ilvl w:val="0"/>
          <w:numId w:val="1008"/>
        </w:numPr>
        <w:pStyle w:val="Compact"/>
      </w:pPr>
      <w:r>
        <w:rPr>
          <w:bCs/>
          <w:b/>
        </w:rPr>
        <w:t xml:space="preserve">Ilmiy yangiliklar (taxminiy 4 ta):</w:t>
      </w:r>
      <w:r>
        <w:t xml:space="preserve"> </w:t>
      </w:r>
      <w:r>
        <w:t xml:space="preserve">(a) muallif ta’rifi (1.1); (b) xalqaro standartlarga asoslangan integral indeks metodikasi (3.1); (c) indeks asosidagi erta ogohlantirish signallari (4.1); (d) indeksning ssenariyli prognozi (4.2). Har biri boshqa paragrafda — bu yaxshi taqsimot.</w:t>
      </w:r>
    </w:p>
    <w:p>
      <w:pPr>
        <w:numPr>
          <w:ilvl w:val="0"/>
          <w:numId w:val="1008"/>
        </w:numPr>
        <w:pStyle w:val="Compact"/>
      </w:pPr>
      <w:r>
        <w:rPr>
          <w:bCs/>
          <w:b/>
        </w:rPr>
        <w:t xml:space="preserve">Hajm muvozanati.</w:t>
      </w:r>
      <w:r>
        <w:t xml:space="preserve"> </w:t>
      </w:r>
      <w:r>
        <w:t xml:space="preserve">I bob jami hajmning 20–25% idan oshmasin; asosiy og‘irlik III va IV boblarda bo‘lsin.</w:t>
      </w:r>
    </w:p>
    <w:p>
      <w:pPr>
        <w:numPr>
          <w:ilvl w:val="0"/>
          <w:numId w:val="1008"/>
        </w:numPr>
        <w:pStyle w:val="Compact"/>
      </w:pPr>
      <w:r>
        <w:rPr>
          <w:bCs/>
          <w:b/>
        </w:rPr>
        <w:t xml:space="preserve">Takror xavfi:</w:t>
      </w:r>
      <w:r>
        <w:t xml:space="preserve"> </w:t>
      </w:r>
      <w:r>
        <w:t xml:space="preserve">1.2 (yondashuvlar tasnifi) va 1.3 (xalqaro standartlar) da CAMELS ikki marta chiqadi. 1.2 da faqat «reyting yondashuvi namunasi» sifatida qisqa, 1.3 da batafsil yozing.</w:t>
      </w:r>
    </w:p>
    <w:p>
      <w:pPr>
        <w:numPr>
          <w:ilvl w:val="0"/>
          <w:numId w:val="1008"/>
        </w:numPr>
        <w:pStyle w:val="Compact"/>
      </w:pPr>
      <w:r>
        <w:rPr>
          <w:bCs/>
          <w:b/>
        </w:rPr>
        <w:t xml:space="preserve">Iqtiboslarni tekshiring.</w:t>
      </w:r>
      <w:r>
        <w:t xml:space="preserve"> </w:t>
      </w:r>
      <w:r>
        <w:t xml:space="preserve">Skan kitoblardan olingan [OCR] belgili iqtiboslar va raqamlarni kitobning o‘z sahifasi bilan solishtiring. Sokolinskaya va «Bazel III» kitoblarining nashr yilini katalogdan aniqlang. Afanasyeva va Dubova kitobi yili (2015 deb ko‘rsatilgan) ham shubhali, chunki unda 2016–2017-yil manbalari bor.</w:t>
      </w:r>
    </w:p>
    <w:p>
      <w:pPr>
        <w:numPr>
          <w:ilvl w:val="0"/>
          <w:numId w:val="1008"/>
        </w:numPr>
        <w:pStyle w:val="Compact"/>
      </w:pPr>
      <w:r>
        <w:rPr>
          <w:bCs/>
          <w:b/>
        </w:rPr>
        <w:t xml:space="preserve">Sarlavhalarda qisqartma yo‘q.</w:t>
      </w:r>
      <w:r>
        <w:t xml:space="preserve"> </w:t>
      </w:r>
      <w:r>
        <w:t xml:space="preserve">MBII, ΔMBII faqat matnda, birinchi marta to‘liq yozilib kiritiladi.</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8"/>
    </w:rPr>
  </w:style>
  <w:style w:styleId="BodyText" w:type="paragraph">
    <w:name w:val="Body Text"/>
    <w:basedOn w:val="Normal"/>
    <w:link w:val="BodyTextChar"/>
    <w:pPr>
      <w:spacing w:after="180" w:before="180"/>
    </w:pPr>
    <w:qFormat/>
    <w:rPr>
      <w:rFonts w:ascii="Times New Roman" w:hAnsi="Times New Roman"/>
      <w:sz w:val="28"/>
    </w:rPr>
  </w:style>
  <w:style w:customStyle="1" w:styleId="FirstParagraph" w:type="paragraph">
    <w:name w:val="First Paragraph"/>
    <w:basedOn w:val="BodyText"/>
    <w:next w:val="BodyText"/>
    <w:qFormat/>
    <w:rPr>
      <w:rFonts w:ascii="Times New Roman" w:hAnsi="Times New Roman"/>
      <w:sz w:val="28"/>
    </w:rPr>
  </w:style>
  <w:style w:customStyle="1" w:styleId="Compact" w:type="paragraph">
    <w:name w:val="Compact"/>
    <w:basedOn w:val="BodyText"/>
    <w:qFormat/>
    <w:pPr>
      <w:spacing w:after="36" w:before="36"/>
    </w:pPr>
    <w:rPr>
      <w:rFonts w:ascii="Times New Roman" w:hAnsi="Times New Roman"/>
      <w:sz w:val="28"/>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Dissertatsiyaning yaxlit rejasi va uning asoslanishi</dc:title>
  <dc:creator/>
  <cp:keywords/>
  <dcterms:created xsi:type="dcterms:W3CDTF">2026-10-07T19:04:19Z</dcterms:created>
  <dcterms:modified xsi:type="dcterms:W3CDTF">2026-10-07T19:04:19Z</dcterms:modified>
</cp:coreProperties>
</file>

<file path=docProps/custom.xml><?xml version="1.0" encoding="utf-8"?>
<Properties xmlns="http://schemas.openxmlformats.org/officeDocument/2006/custom-properties" xmlns:vt="http://schemas.openxmlformats.org/officeDocument/2006/docPropsVTypes"/>
</file>