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72daba44b2cf5489f0c01aa99f3e5b208dff93"/>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3.2-§. Moliyaviy barqarorlik integral indeksining vaznlari va chegaraviy qiymatlarini empirik asoslash</w:t>
      </w:r>
    </w:p>
    <w:p>
      <w:pPr>
        <w:pStyle w:val="FirstParagraph"/>
        <w:spacing w:line="360" w:lineRule="auto" w:before="0" w:after="0"/>
        <w:ind w:firstLine="709"/>
        <w:jc w:val="both"/>
      </w:pPr>
      <w:r>
        <w:rPr>
          <w:rFonts w:ascii="Times New Roman" w:hAnsi="Times New Roman" w:cs="Times New Roman" w:eastAsia="Times New Roman"/>
          <w:sz w:val="28"/>
        </w:rP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FootnoteReference"/>
        </w:rPr>
        <w:footnoteReference w:id="20"/>
      </w:r>
      <w:r>
        <w:rPr>
          <w:rFonts w:ascii="Times New Roman" w:hAnsi="Times New Roman" w:cs="Times New Roman" w:eastAsia="Times New Roman"/>
          <w:sz w:val="28"/>
        </w:rPr>
        <w:t xml:space="preserve">. M. Saisana, A. Saltelli va S. Tarantola kompozit indikatorlar sifatini baholashda noaniqlik va sezgirlik tahlilini, ya’ni vaznlar tasodifiy o‘zgartirilganda natijalar qanchalik barqaror qolishini tekshirishni asosiy talab sifatida ilgari suradi</w:t>
      </w:r>
      <w:r>
        <w:rPr>
          <w:rStyle w:val="FootnoteReference"/>
        </w:rPr>
        <w:footnoteReference w:id="21"/>
      </w:r>
      <w:r>
        <w:rPr>
          <w:rFonts w:ascii="Times New Roman" w:hAnsi="Times New Roman" w:cs="Times New Roman" w:eastAsia="Times New Roman"/>
          <w:sz w:val="28"/>
        </w:rPr>
        <w:t xml:space="preserve">. Moliyaviy stress indekslarini qurishda ham M. Illing va Y. Liu turli vaznlash usullarini solishtirib, eng yaxshi usulni indeksning haqiqiy stress davrlarini aniqlash qobiliyati bo‘yicha tanlagan</w:t>
      </w:r>
      <w:r>
        <w:rPr>
          <w:rStyle w:val="FootnoteReference"/>
        </w:rPr>
        <w:footnoteReference w:id="22"/>
      </w:r>
      <w:r>
        <w:rPr>
          <w:rFonts w:ascii="Times New Roman" w:hAnsi="Times New Roman" w:cs="Times New Roman" w:eastAsia="Times New Roman"/>
          <w:sz w:val="28"/>
        </w:rPr>
        <w:t xml:space="preserve">. A.M. Karminskiy esa reyting modellarida vaznlar ekspert yo‘li bilan belgilansa ham, ular albatta statistik tekshiruvdan o‘tkazilishi lozimligini ta’kidlaydi</w:t>
      </w:r>
      <w:r>
        <w:rPr>
          <w:rStyle w:val="FootnoteReference"/>
        </w:rPr>
        <w:footnoteReference w:id="23"/>
      </w:r>
      <w:r>
        <w:rPr>
          <w:rFonts w:ascii="Times New Roman" w:hAnsi="Times New Roman" w:cs="Times New Roman" w:eastAsia="Times New Roman"/>
          <w:sz w:val="28"/>
        </w:rPr>
        <w:t xml:space="preserve">. Shu sababli ushbu paragrafda integral indeks vaznlari va sinflar chegaralari empirik usullar yordamida tekshiriladi.</w:t>
      </w:r>
    </w:p>
    <w:p>
      <w:pPr>
        <w:pStyle w:val="BodyText"/>
        <w:spacing w:line="360" w:lineRule="auto" w:before="0" w:after="0"/>
        <w:ind w:firstLine="709"/>
        <w:jc w:val="both"/>
      </w:pPr>
      <w:r>
        <w:rPr>
          <w:rFonts w:ascii="Times New Roman" w:hAnsi="Times New Roman" w:cs="Times New Roman" w:eastAsia="Times New Roman"/>
          <w:sz w:val="28"/>
        </w:rPr>
        <w:t xml:space="preserve">Vaznlarni empirik asoslash uchun to‘rtta usul qo‘llandi. Ularning mazmuni va qo‘llanish mantiqi 3.2.1-jadvalda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vaznlarini aniqlashning empirik usullari</w:t>
      </w:r>
      <w:r>
        <w:rPr>
          <w:rStyle w:val="FootnoteReference"/>
        </w:rPr>
        <w:footnoteReference w:id="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061"/>
        <w:gridCol w:w="2154"/>
        <w:gridCol w:w="238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Usul</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Vazn nimani aks ettiradi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Qo‘llangan ma’lumotlar</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Entropiya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 Shannon entropiyasi asosida har bir ko‘rsatkichning banklar o‘rtasidagi tarqoqligi o‘lchanadi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Banklarni bir-biridan qanchalik farqlashi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Variatsiya koeffitsiyenti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 ballarining standart chetlanishi o‘rtacha qiymatga nisbati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Ko‘rsatkich qiymatlarining nisbiy o‘zgaruvchanligi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Bosh komponentlar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Bloklar ballarining korrelyatsiya tuzilmasi asosida umumiy omillar ajratiladi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umumiy barqarorlik omiliga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5 blok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Logit (bashorat)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Muammo hodisasi ehtimoli bloklar ballariga regressiya qilinadi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muammolarni oldindan aniqlashdagi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25 bank, 2021–2024-yillar choraklik ma’lumotlari, 4.1-paragrafdagi muammo hodisalari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usullar vazn tushunchasini turlicha talqin qiladi. Entropiya va variatsiya koeffitsiyenti usullari banklarni bir-biridan ko‘proq farqlaydigan ko‘rsatkichlarga yuqori vazn beradi</w:t>
      </w:r>
      <w:r>
        <w:rPr>
          <w:rStyle w:val="FootnoteReference"/>
        </w:rPr>
        <w:footnoteReference w:id="25"/>
      </w:r>
      <w:r>
        <w:rPr>
          <w:rFonts w:ascii="Times New Roman" w:hAnsi="Times New Roman" w:cs="Times New Roman" w:eastAsia="Times New Roman"/>
          <w:sz w:val="28"/>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yil hisobotidagi qayta hisoblangan qiyosiy ma’lumotlardan olindi, bu hisob siyosati o‘zgarishi va xatolarni tuzatish natijasidagi qayta hisoblashlarni hisobga olish imkonini beradi</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 Yuqori likvid aktivlar ulushi esa «SNS» reyting agentligi bazasidan olindi</w:t>
      </w:r>
      <w:r>
        <w:rPr>
          <w:rStyle w:val="FootnoteReference"/>
        </w:rPr>
        <w:footnoteReference w:id="31"/>
      </w:r>
      <w:r>
        <w:rPr>
          <w:rFonts w:ascii="Times New Roman" w:hAnsi="Times New Roman" w:cs="Times New Roman" w:eastAsia="Times New Roman"/>
          <w:sz w:val="28"/>
        </w:rPr>
        <w:t xml:space="preserve">. Logit usuli uchun 3.3-paragrafda shakllantirilgan 25 ta bank paneli qo‘llandi</w:t>
      </w:r>
      <w:r>
        <w:rPr>
          <w:rStyle w:val="FootnoteReference"/>
        </w:rPr>
        <w:footnoteReference w:id="32"/>
      </w:r>
      <w:r>
        <w:rPr>
          <w:rFonts w:ascii="Times New Roman" w:hAnsi="Times New Roman" w:cs="Times New Roman" w:eastAsia="Times New Roman"/>
          <w:sz w:val="28"/>
        </w:rPr>
        <w:t xml:space="preserve">, unda kapital bloki barcha banklarda bir xil ball olgani va valyuta riski bo‘yicha ma’lumotlar mavjud bo‘lmagani sababli bu ikki blok uchun ekspert vaznlari saqlandi. Hisob-kitob natijalari 3.2.2-jadvalda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bloklarining ekspert va empirik usullar bo‘yicha vaznlari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134"/>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 (3.1-§)</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Variatsiya koeffitsiyenti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0,46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 – logit usulida baholanmagan, ekspert vazni saqlangan. Bosh komponentlar usulida o‘z qiymati birdan katta bo‘lgan ikkita komponent ajratilgan, ular bloklar dispersiyasining 66,0 foizini izohlaydi.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barcha empirik usullar aktivlar sifati blokiga yuqori vazn bergan: entropiya, variatsiya koeffitsiyenti va bosh komponentlar usullarida u 0,27–0,32 ni tashkil etib, ekspert vazniga (0,30) deyarli teng, logit usulida esa 0,57 gacha oshgan. Demak, aktivlar sifati blokiga eng yuqori vazn berish to‘g‘risidagi ekspert qarori empirik jihatdan tasdiqlanadi.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3060000"/>
            <wp:effectExtent l="0" t="0" r="0" b="0"/>
            <wp:docPr id="1001" name="3.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Integral indeks bloklarining ekspert va empirik usullar bo‘yicha vaznlari</w:t>
      </w:r>
      <w:r>
        <w:rPr>
          <w:rStyle w:val="FootnoteReference"/>
        </w:rPr>
        <w:footnoteReference w:id="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FootnoteReference"/>
        </w:rPr>
        <w:footnoteReference w:id="35"/>
      </w:r>
      <w:r>
        <w:rPr>
          <w:rFonts w:ascii="Times New Roman" w:hAnsi="Times New Roman" w:cs="Times New Roman" w:eastAsia="Times New Roman"/>
          <w:sz w:val="28"/>
        </w:rPr>
        <w:t xml:space="preserve">.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pPr>
        <w:pStyle w:val="BodyText"/>
        <w:spacing w:line="360" w:lineRule="auto" w:before="0" w:after="0"/>
        <w:ind w:firstLine="709"/>
        <w:jc w:val="both"/>
      </w:pPr>
      <w:r>
        <w:rPr>
          <w:rFonts w:ascii="Times New Roman" w:hAnsi="Times New Roman" w:cs="Times New Roman" w:eastAsia="Times New Roman"/>
          <w:sz w:val="28"/>
        </w:rPr>
        <w:t xml:space="preserve">Vaznlar tanlovi indeks natijalariga qanchalik ta’sir qilishini aniqlash uchun beshta bankning integral indeksi har bir usul vaznlari bo‘yicha qayta hisoblandi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bankning integral indeksi turli usullar vaznlari bo‘yicha, 2025-yil</w:t>
      </w:r>
      <w:r>
        <w:rPr>
          <w:rStyle w:val="FootnoteReference"/>
        </w:rPr>
        <w:footnoteReference w:id="3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304"/>
        <w:gridCol w:w="1304"/>
        <w:gridCol w:w="1304"/>
        <w:gridCol w:w="1247"/>
        <w:gridCol w:w="1304"/>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«O‘zsanoatqurilishbank»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2,82</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2,47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3,80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3,78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3,70</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Sinfi ekspert vaznlaridagi bilan mos kuzatuvlar (25 tadan, 2021–2025-yillar)</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Ekspert vaznlaridagi bilan tartib bo‘yicha korrelyatsiya (Spirmen)</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0,98</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 hodisalarini bashorat qilish kuchi (AUC, 25 bank paneli)</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0,875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0,907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0,884</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empirik vaznlar asosidagi indekslar o‘rtasidagi tartib bo‘yicha korrelyatsiya koeffitsiyenti 0,95–0,99 ni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p>
    <w:p>
      <w:pPr>
        <w:pStyle w:val="BodyText"/>
        <w:spacing w:line="360" w:lineRule="auto" w:before="0" w:after="0"/>
        <w:ind w:firstLine="709"/>
        <w:jc w:val="both"/>
      </w:pPr>
      <w:r>
        <w:rPr>
          <w:rFonts w:ascii="Times New Roman" w:hAnsi="Times New Roman" w:cs="Times New Roman" w:eastAsia="Times New Roman"/>
          <w:sz w:val="28"/>
        </w:rPr>
        <w:t xml:space="preserve">Vaznlarning noaniqligi natijalarga ta’sirini to‘liqroq baholash uchun M. Saisana va hammualliflar tavsiyasiga muvofiq Monte-Karlo usuli bilan sezgirlik tahlili o‘tkazildi</w:t>
      </w:r>
      <w:r>
        <w:rPr>
          <w:rStyle w:val="FootnoteReference"/>
        </w:rPr>
        <w:footnoteReference w:id="37"/>
      </w:r>
      <w:r>
        <w:rPr>
          <w:rFonts w:ascii="Times New Roman" w:hAnsi="Times New Roman" w:cs="Times New Roman" w:eastAsia="Times New Roman"/>
          <w:sz w:val="28"/>
        </w:rPr>
        <w:t xml:space="preserve">: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3.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Monte-Karlo tahlilida banklar barqarorlik sinfining saqlanish ulushi, foizda</w:t>
      </w:r>
      <w:r>
        <w:rPr>
          <w:rStyle w:val="FootnoteReference"/>
        </w:rPr>
        <w:footnoteReference w:id="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vaznlar ekspert vaznlari atrofida o‘zgarganda banklarning barqarorlik sinfi o‘rtacha 78,9 foiz holatda saqlanadi, «O‘zsanoatqurilishbank» ATB da esa bu ko‘rsatkich 91,9 foizga yetadi. Banklar tartibining ekspert vaznlaridagi tartib bilan mosligi bu holatda juda yuqori: tartib korrelyatsiyasi koeffitsiyentining medianasi 0,98 ni, eng past 5 foizlik qiymati esa 0,85 ni tashkil etadi. Vaznlar to‘liq tasodifiy tanlanganda ham sinf o‘rtacha 55,7 foiz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sinflari bo‘yicha muammo hodisalarining yuz berish chastotasi, 2021–2025-yillar</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701"/>
        <w:gridCol w:w="1474"/>
        <w:gridCol w:w="2494"/>
        <w:gridCol w:w="170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Barqarorlik sinfi</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ball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Keyingi to‘rt chorakda muammo hodisasi yuz bergan kuzatuvlar</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Ulushi, %</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3,25 va undan yuqori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200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2,5–3,25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98</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13</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13,3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90,0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 dan past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chegaralari real ma’lumotlarda aniq farqlanadi: I sinfdagi banklarda keyingi bir yil ichida muammo yuz berish ehtimoli 2,0 foizni, II sinfda 13,3 foizni, III sinfda esa 90,0 foizni tashkil etgan.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ko‘rsatilganidek, 2,75 balldan past bo‘lgan banklarda muammo ehtimoli keskin oshadi, shu sababli erta ogohlantirish tizimida II sinf ikki zonaga ajratilgan.</w:t>
      </w:r>
    </w:p>
    <w:p>
      <w:pPr>
        <w:pStyle w:val="BodyText"/>
        <w:spacing w:line="360" w:lineRule="auto" w:before="0" w:after="0"/>
        <w:ind w:firstLine="709"/>
        <w:jc w:val="both"/>
      </w:pPr>
      <w:r>
        <w:rPr>
          <w:rFonts w:ascii="Times New Roman" w:hAnsi="Times New Roman" w:cs="Times New Roman" w:eastAsia="Times New Roman"/>
          <w:sz w:val="28"/>
        </w:rPr>
        <w:t xml:space="preserve">Empirik asoslangan indeks beshta bankning 2021–2025-yillardagi moliyaviy barqarorligi dinamikasini baholash uchun qo‘llandi (3.2.3-rasm).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3.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Tanlangan banklarda moliyaviy barqarorlikning integral indeksi, MHXS hisobotlari asosida, 2021–2025-yillar</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2,75–2,93 ball oralig‘ida barqaror saqlangan, «Mikrokreditbank» ATB niki esa 2,20–2,47 ball oralig‘ida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FootnoteReference"/>
        </w:rPr>
        <w:footnoteReference w:id="41"/>
      </w:r>
      <w:r>
        <w:rPr>
          <w:rFonts w:ascii="Times New Roman" w:hAnsi="Times New Roman" w:cs="Times New Roman" w:eastAsia="Times New Roman"/>
          <w:sz w:val="28"/>
        </w:rPr>
        <w:t xml:space="preserve">.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pPr>
        <w:pStyle w:val="BodyText"/>
        <w:spacing w:line="360" w:lineRule="auto" w:before="0" w:after="0"/>
        <w:ind w:firstLine="709"/>
        <w:jc w:val="both"/>
      </w:pPr>
      <w:r>
        <w:rPr>
          <w:rFonts w:ascii="Times New Roman" w:hAnsi="Times New Roman" w:cs="Times New Roman" w:eastAsia="Times New Roman"/>
          <w:sz w:val="28"/>
        </w:rPr>
        <w:t xml:space="preserve">Shunday qilib, empirik tahlil 3.1-paragrafda taklif etilgan integral indeksning asosiy metodik elementlarini tasdiqladi. Birinchidan, barcha empirik usullar aktivlar sifati blokiga eng yuqori yoki ekspert vazniga teng vazn berdi, ya’ni metodikaning markaziy elementi empirik jihatdan asoslandi. Ikkinchidan, vaznlar tanlovi banklar tartibini deyarli o‘zgartirmaydi: tartib korrelyatsiyasi 0,95–0,99 ni, Monte-Karlo tahlilida esa median qiymati 0,98 ni tashkil etdi. Uchinchidan, barqarorlik sinflari chegaralari muammo ehtimolidagi sifat o‘zgarishiga mos keladi: I, II va III sinflarda bir yil ichida muammo yuz berish ehtimoli mos ravishda 2,0; 13,3 va 90,0 foizni tashkil etdi.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bookmarkEnd w:id="42"/>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OECD, JRC. Handbook on Constructing Composite Indicators: Methodology and User Guide. – Paris: OECD Publishing, 2008. – P. 89–103.</w:t>
      </w:r>
    </w:p>
  </w:footnote>
  <w:footnote w:id="21">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22">
    <w:p>
      <w:pPr>
        <w:pStyle w:val="FootnoteText"/>
      </w:pPr>
      <w:r>
        <w:rPr>
          <w:rStyle w:val="FootnoteReference"/>
        </w:rPr>
        <w:footnoteRef/>
      </w:r>
      <w:r>
        <w:t xml:space="preserve"> </w:t>
      </w:r>
      <w:r>
        <w:t xml:space="preserve">Illing M., Liu Y. Measuring financial stress in a developed country: An application to Canada // Journal of Financial Stability. – 2006. – Vol. 2, No. 3. – P. 243–265.</w:t>
      </w:r>
    </w:p>
  </w:footnote>
  <w:footnote w:id="2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24">
    <w:p>
      <w:pPr>
        <w:pStyle w:val="FootnoteText"/>
      </w:pPr>
      <w:r>
        <w:rPr>
          <w:rStyle w:val="FootnoteReference"/>
        </w:rPr>
        <w:footnoteRef/>
      </w:r>
      <w:r>
        <w:t xml:space="preserve"> </w:t>
      </w:r>
      <w:r>
        <w:t xml:space="preserve">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25">
    <w:p>
      <w:pPr>
        <w:pStyle w:val="FootnoteText"/>
      </w:pPr>
      <w:r>
        <w:rPr>
          <w:rStyle w:val="FootnoteReference"/>
        </w:rPr>
        <w:footnoteRef/>
      </w:r>
      <w:r>
        <w:t xml:space="preserve"> </w:t>
      </w:r>
      <w:r>
        <w:t xml:space="preserve">Shannon C.E. A Mathematical Theory of Communication // Bell System Technical Journal. – 1948. – Vol. 27, No. 3. – P. 379–423.</w:t>
      </w:r>
    </w:p>
  </w:footnote>
  <w:footnote w:id="2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27">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28">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29">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0">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1">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32">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33">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4">
    <w:p>
      <w:pPr>
        <w:pStyle w:val="FootnoteText"/>
      </w:pPr>
      <w:r>
        <w:rPr>
          <w:rStyle w:val="FootnoteReference"/>
        </w:rPr>
        <w:footnoteRef/>
      </w:r>
      <w:r>
        <w:t xml:space="preserve"> </w:t>
      </w:r>
      <w:r>
        <w:t xml:space="preserve">Tadqiqot natijasida muallif tomonidan 3.2.2-jadval ma’lumotlari asosida ishlab chiqildi.</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7">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3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9">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
    <w:p>
      <w:pPr>
        <w:pStyle w:val="FootnoteText"/>
      </w:pPr>
      <w:r>
        <w:rPr>
          <w:rStyle w:val="FootnoteReference"/>
        </w:rPr>
        <w:footnoteRef/>
      </w:r>
      <w:r>
        <w:t xml:space="preserve"> </w:t>
      </w:r>
      <w:r>
        <w:t xml:space="preserve">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c:v>
                </c:pt>
                <c:pt idx="1">
                  <c:v>0.27</c:v>
                </c:pt>
                <c:pt idx="2">
                  <c:v>0.16</c:v>
                </c:pt>
                <c:pt idx="3">
                  <c:v>0.3</c:v>
                </c:pt>
                <c:pt idx="4">
                  <c:v>0.13</c:v>
                </c:pt>
              </c:numCache>
            </c:numRef>
          </c:val>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0.57</c:v>
                </c:pt>
                <c:pt idx="2">
                  <c:v>0.0</c:v>
                </c:pt>
                <c:pt idx="3">
                  <c:v>0.08</c:v>
                </c:pt>
                <c:pt idx="4">
                  <c:v>0.1</c:v>
                </c:pt>
              </c:numCache>
            </c:numRef>
          </c:val>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0.12</c:v>
                </c:pt>
                <c:pt idx="1">
                  <c:v>0.37</c:v>
                </c:pt>
                <c:pt idx="2">
                  <c:v>0.06</c:v>
                </c:pt>
                <c:pt idx="3">
                  <c:v>0.3</c:v>
                </c:pt>
                <c:pt idx="4">
                  <c:v>0.14</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91.9</c:v>
                </c:pt>
                <c:pt idx="1">
                  <c:v>76.8</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56.8</c:v>
                </c:pt>
                <c:pt idx="1">
                  <c:v>52.5</c:v>
                </c:pt>
                <c:pt idx="2">
                  <c:v>58.6</c:v>
                </c:pt>
                <c:pt idx="3">
                  <c:v>57.7</c:v>
                </c:pt>
                <c:pt idx="4">
                  <c:v>53.1</c:v>
                </c:pt>
                <c:pt idx="5">
                  <c:v>55.7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2026-10-12T02:25:11Z</dcterms:created>
  <dcterms:modified xsi:type="dcterms:W3CDTF">2026-10-12T02:25:11Z</dcterms:modified>
</cp:coreProperties>
</file>

<file path=docProps/custom.xml><?xml version="1.0" encoding="utf-8"?>
<Properties xmlns="http://schemas.openxmlformats.org/officeDocument/2006/custom-properties" xmlns:vt="http://schemas.openxmlformats.org/officeDocument/2006/docPropsVTypes"/>
</file>