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1b5accc681c3101e34ae1424a5e2c752f5d3c99"/>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3.1-§. Moliyaviy barqarorlikni integral indeks asosida baholashning takomillashtirilgan metodikasi</w:t>
      </w:r>
    </w:p>
    <w:p>
      <w:pPr>
        <w:pStyle w:val="FirstParagraph"/>
        <w:spacing w:line="360" w:lineRule="auto" w:before="0" w:after="0"/>
        <w:ind w:firstLine="709"/>
        <w:jc w:val="both"/>
      </w:pPr>
      <w:r>
        <w:rPr>
          <w:rFonts w:ascii="Times New Roman" w:hAnsi="Times New Roman" w:cs="Times New Roman" w:eastAsia="Times New Roman"/>
          <w:sz w:val="28"/>
        </w:rPr>
        <w:t xml:space="preserve">Dissertatsiyaning birinchi bobida tijorat banklari moliyaviy barqarorligini baholash metodikasi Bazel III mezonlariga bog‘langan, aktivlar sifatini MHXS 9 tamoyillari asosida baholaydigan va xalqaro taqqoslanadigan ko‘rsatkichlarga tayanadigan integral yondashuvga asoslanishi lozimligi nazariy jihatdan asoslandi. Ikkinchi bobda esa O‘zbekistonning amaldagi baholash tizimi bu talablarga to‘liq javob bermasligi va buning amaliy oqibatlari aniqlandi. Ushbu paragrafda ikki bob natijalari asosida muallif tomonidan ishlab chiqilgan moliyaviy barqarorlikning integral indeksi (keyingi o‘rinlarda – MBII) va uni hisoblash metodikasi taklif etiladi. Integral ko‘rsatkichga bo‘lgan ehtiyojni O.I. Lavrushin tahriri ostidagi monografiya mualliflari ham qayd etib, bank tizimi barqarorligini tavsiflovchi ko‘rsatkichlar mezoniy qiymatlarga va yagona integral ko‘rsatkichga ega bo‘lishi kerakligini ta’kidlagan</w:t>
      </w:r>
      <w:r>
        <w:rPr>
          <w:rStyle w:val="FootnoteReference"/>
        </w:rPr>
        <w:footnoteReference w:id="20"/>
      </w:r>
      <w:r>
        <w:rPr>
          <w:rFonts w:ascii="Times New Roman" w:hAnsi="Times New Roman" w:cs="Times New Roman" w:eastAsia="Times New Roman"/>
          <w:sz w:val="28"/>
        </w:rPr>
        <w:t xml:space="preserve">. Biroq O‘zbekistonda bank faoliyatini tahlil qilishga bag‘ishlangan asosiy darsliklar va monografiyalarda moliyaviy barqarorlik ko‘rsatkichlari alohida-alohida tahlil qilinib, ularni yagona bahoga keltiruvchi metodika taklif etilmagan</w:t>
      </w:r>
      <w:r>
        <w:rPr>
          <w:rStyle w:val="FootnoteReference"/>
        </w:rPr>
        <w:footnoteReference w:id="21"/>
      </w:r>
      <w:r>
        <w:rPr>
          <w:rStyle w:val="FootnoteReference"/>
        </w:rPr>
        <w:footnoteReference w:id="22"/>
      </w:r>
      <w:r>
        <w:rPr>
          <w:rFonts w:ascii="Times New Roman" w:hAnsi="Times New Roman" w:cs="Times New Roman" w:eastAsia="Times New Roman"/>
          <w:sz w:val="28"/>
        </w:rPr>
        <w:t xml:space="preserve">. T.M. Karaliyev va I.F. Sayfiddinov esa respublikamizda qo‘llangan CAMEL tizimining kamchiliklari sifatida tengdosh banklar bilan qiyosiy baholashning yo‘qligini va omillar uchun solishtirma vaznlar belgilanmaganini ko‘rsatgan</w:t>
      </w:r>
      <w:r>
        <w:rPr>
          <w:rStyle w:val="FootnoteReference"/>
        </w:rPr>
        <w:footnoteReference w:id="23"/>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Metodikaga qo‘yiladigan talablarni aniqlash uchun ikkinchi bobda aniqlangan har bir muammo uning yechimi bo‘lishi lozim bo‘lgan metodika elementi bilan solishtirildi (3.1.1-jadval).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3.1.1-jadval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Amaldagi baholash tizimi muammolari va ularni hal etuvchi metodika elementlari</w:t>
      </w:r>
      <w:r>
        <w:rPr>
          <w:rStyle w:val="FootnoteReference"/>
        </w:rPr>
        <w:footnoteReference w:id="24"/>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061"/>
        <w:gridCol w:w="2948"/>
        <w:gridCol w:w="3288"/>
      </w:tblGrid>
      <w:tr>
        <w:trPr>
          <w:tblHeader w:val="true"/>
          <w:cantSplit/>
          <w:tblHeader/>
        </w:trPr>
        <w:tc>
          <w:tcPr>
            <w:tcW w:type="dxa" w:w="30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Aniqlangan muammo</w:t>
            </w:r>
          </w:p>
        </w:tc>
        <w:tc>
          <w:tcPr>
            <w:tcW w:type="dxa" w:w="294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Dalil (II bob)</w:t>
            </w:r>
          </w:p>
        </w:tc>
        <w:tc>
          <w:tcPr>
            <w:tcW w:type="dxa" w:w="328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Metodika elementi</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Ko‘rsatkichlar turli yo‘nalishda signal beradi, yagona baho yo‘q</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2.2-§: kapital va likvidlik yuqori, aktivlar sifati zaif</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Bloklar baholarini vaznlab birlashtiruvchi integral indeks</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Milliy muammoli kreditlar ko‘rsatkichi kredit riskini kamsitadi</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2.3-§: yashirin kredit riski koeffitsiyenti 1,65–3,30</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Aktivlar sifati MHXS 9 bosqichlari bo‘yicha baholanadi, milliy ma’lumotlar tuzatiladi</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Kapital MHXS bo‘yicha kam, tafovut ortib bormoqda</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2.3-§: CET1 10,21% o‘rniga 8,87%</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Kapital bloki MHXS asosida qayta hisoblangan koeffitsiyentlarni qamraydi</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Likvidlik me’yorlari Bazel III dan soddalashtirilgan</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2.3-§: NSFR metodika farqi 5,4 foiz punkt, LCR da banklardagi mablag‘lar 30,9%</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Likvidlik bloki Bazel III metodikasi bo‘yicha hisoblanadi</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Chegaralar faqat «bajarildi – bajarilmadi» shaklida</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2.1-§: normativlar faqat bajarilgan yoki bajarilmagani bo‘yicha nazorat qilinadi</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Har bir ko‘rsatkich uchun to‘rt darajali chegaralar va uzluksiz ball</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Dollarlashuv yuqori, valyuta riski baholanmaydi</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2.2-§: xorijiy valyutadagi kreditlar ulushi 38–49%</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Valyuta riskiga sezgirlik bloki</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Davlat banklarida kapital davlat ko‘magiga bog‘liq</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2.2-§: «Mikrokreditbank» ATB qayta kapitallashtirilgan</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Indeksni davlat ko‘magisiz hisoblash imkoniyati (3.2-§)</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metodika uchta asosiy vazifani hal etishi lozim: birinchidan, turli yo‘nalishdagi signallarni yagona bahoga keltirish; ikkinchidan, ko‘rsatkichlarni xalqaro standartlar asosida hisoblash yoki milliy ma’lumotlarni ularga moslashtirish; uchinchidan, chegaraviy qiymatlarni binar emas, balki darajali tarzda belgilab, bankning me’yordan qanchalik uzoq yoki yaqin turganini aks ettirish. Bu vazifalar metodikaning hisoblash algoritmini belgilaydi (3.1.1-rasm).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40000" cy="1944000"/>
                <wp:effectExtent l="0" t="0" r="0" b="0"/>
                <wp:docPr id="1001" name="3.1.1-rasm"/>
                <wp:cNvGraphicFramePr/>
                <a:graphic>
                  <a:graphicData uri="http://schemas.microsoft.com/office/word/2010/wordprocessingGroup">
                    <wpg:wgp>
                      <wpg:cNvGrpSpPr/>
                      <wpg:grpSpPr>
                        <a:xfrm>
                          <a:off x="0" y="0"/>
                          <a:ext cx="5940000" cy="1944000"/>
                          <a:chOff x="0" y="0"/>
                          <a:chExt cx="5940000" cy="1944000"/>
                        </a:xfrm>
                      </wpg:grpSpPr>
                      <wps:wsp>
                        <wps:cNvPr id="2" name="Shape 2"/>
                        <wps:cNvSpPr/>
                        <wps:spPr>
                          <a:xfrm>
                            <a:off x="36000" y="72000"/>
                            <a:ext cx="1296000" cy="720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1. Ma’lumotlar:</w:t>
                              </w:r>
                            </w:p>
                            <w:p>
                              <w:pPr>
                                <w:spacing w:before="0" w:after="0" w:line="228" w:lineRule="auto"/>
                                <w:jc w:val="center"/>
                                <w:ind w:firstLine="0"/>
                              </w:pPr>
                              <w:r>
                                <w:rPr>
                                  <w:rFonts w:ascii="Times New Roman" w:hAnsi="Times New Roman" w:cs="Times New Roman"/>
                                  <w:b/>
                                  <w:color w:val="FFFFFF"/>
                                  <w:sz w:val="20"/>
                                  <w:szCs w:val="20"/>
                                </w:rPr>
                                <w:t xml:space="preserve">milliy hisobot /</w:t>
                              </w:r>
                            </w:p>
                            <w:p>
                              <w:pPr>
                                <w:spacing w:before="0" w:after="0" w:line="228" w:lineRule="auto"/>
                                <w:jc w:val="center"/>
                                <w:ind w:firstLine="0"/>
                              </w:pPr>
                              <w:r>
                                <w:rPr>
                                  <w:rFonts w:ascii="Times New Roman" w:hAnsi="Times New Roman" w:cs="Times New Roman"/>
                                  <w:b/>
                                  <w:color w:val="FFFFFF"/>
                                  <w:sz w:val="20"/>
                                  <w:szCs w:val="20"/>
                                </w:rPr>
                                <w:t xml:space="preserve">MHXS hisoboti</w:t>
                              </w:r>
                            </w:p>
                          </w:txbxContent>
                        </wps:txbx>
                        <wps:bodyPr rot="0" vert="horz" wrap="square" lIns="36000" tIns="18000" rIns="36000" bIns="18000" anchor="ctr" anchorCtr="0">
                          <a:noAutofit/>
                        </wps:bodyPr>
                      </wps:wsp>
                      <wps:wsp>
                        <wps:cNvPr id="3" name="Shape 3"/>
                        <wps:cNvSpPr/>
                        <wps:spPr>
                          <a:xfrm>
                            <a:off x="1548000" y="72000"/>
                            <a:ext cx="1296000" cy="720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2. MHXS yo‘q bo‘lsa:</w:t>
                              </w:r>
                            </w:p>
                            <w:p>
                              <w:pPr>
                                <w:spacing w:before="0" w:after="0" w:line="228" w:lineRule="auto"/>
                                <w:jc w:val="center"/>
                                <w:ind w:firstLine="0"/>
                              </w:pPr>
                              <w:r>
                                <w:rPr>
                                  <w:rFonts w:ascii="Times New Roman" w:hAnsi="Times New Roman" w:cs="Times New Roman"/>
                                  <w:b/>
                                  <w:color w:val="FFFFFF"/>
                                  <w:sz w:val="20"/>
                                  <w:szCs w:val="20"/>
                                </w:rPr>
                                <w:t xml:space="preserve">tuzatish</w:t>
                              </w:r>
                            </w:p>
                            <w:p>
                              <w:pPr>
                                <w:spacing w:before="0" w:after="0" w:line="228" w:lineRule="auto"/>
                                <w:jc w:val="center"/>
                                <w:ind w:firstLine="0"/>
                              </w:pPr>
                              <w:r>
                                <w:rPr>
                                  <w:rFonts w:ascii="Times New Roman" w:hAnsi="Times New Roman" w:cs="Times New Roman"/>
                                  <w:b/>
                                  <w:color w:val="FFFFFF"/>
                                  <w:sz w:val="20"/>
                                  <w:szCs w:val="20"/>
                                </w:rPr>
                                <w:t xml:space="preserve">koeffitsiyentlari</w:t>
                              </w:r>
                            </w:p>
                          </w:txbxContent>
                        </wps:txbx>
                        <wps:bodyPr rot="0" vert="horz" wrap="square" lIns="36000" tIns="18000" rIns="36000" bIns="18000" anchor="ctr" anchorCtr="0">
                          <a:noAutofit/>
                        </wps:bodyPr>
                      </wps:wsp>
                      <wps:wsp>
                        <wps:cNvPr id="4" name="Shape 4"/>
                        <wps:cNvSpPr/>
                        <wps:spPr>
                          <a:xfrm>
                            <a:off x="3060000" y="72000"/>
                            <a:ext cx="1296000" cy="72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3. 14 ta ko‘rsatkichni</w:t>
                              </w:r>
                            </w:p>
                            <w:p>
                              <w:pPr>
                                <w:spacing w:before="0" w:after="0" w:line="228" w:lineRule="auto"/>
                                <w:jc w:val="center"/>
                                <w:ind w:firstLine="0"/>
                              </w:pPr>
                              <w:r>
                                <w:rPr>
                                  <w:rFonts w:ascii="Times New Roman" w:hAnsi="Times New Roman" w:cs="Times New Roman"/>
                                  <w:b/>
                                  <w:color w:val="FFFFFF"/>
                                  <w:sz w:val="20"/>
                                  <w:szCs w:val="20"/>
                                </w:rPr>
                                <w:t xml:space="preserve">hisoblash</w:t>
                              </w:r>
                            </w:p>
                          </w:txbxContent>
                        </wps:txbx>
                        <wps:bodyPr rot="0" vert="horz" wrap="square" lIns="36000" tIns="18000" rIns="36000" bIns="18000" anchor="ctr" anchorCtr="0">
                          <a:noAutofit/>
                        </wps:bodyPr>
                      </wps:wsp>
                      <wps:wsp>
                        <wps:cNvPr id="5" name="Shape 5"/>
                        <wps:cNvSpPr/>
                        <wps:spPr>
                          <a:xfrm>
                            <a:off x="4572000" y="72000"/>
                            <a:ext cx="1296000" cy="72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4. Uzluksiz</w:t>
                              </w:r>
                            </w:p>
                            <w:p>
                              <w:pPr>
                                <w:spacing w:before="0" w:after="0" w:line="228" w:lineRule="auto"/>
                                <w:jc w:val="center"/>
                                <w:ind w:firstLine="0"/>
                              </w:pPr>
                              <w:r>
                                <w:rPr>
                                  <w:rFonts w:ascii="Times New Roman" w:hAnsi="Times New Roman" w:cs="Times New Roman"/>
                                  <w:b/>
                                  <w:color w:val="FFFFFF"/>
                                  <w:sz w:val="20"/>
                                  <w:szCs w:val="20"/>
                                </w:rPr>
                                <w:t xml:space="preserve">shkalada ballash</w:t>
                              </w:r>
                            </w:p>
                            <w:p>
                              <w:pPr>
                                <w:spacing w:before="0" w:after="0" w:line="228" w:lineRule="auto"/>
                                <w:jc w:val="center"/>
                                <w:ind w:firstLine="0"/>
                              </w:pPr>
                              <w:r>
                                <w:rPr>
                                  <w:rFonts w:ascii="Times New Roman" w:hAnsi="Times New Roman" w:cs="Times New Roman"/>
                                  <w:b/>
                                  <w:color w:val="FFFFFF"/>
                                  <w:sz w:val="20"/>
                                  <w:szCs w:val="20"/>
                                </w:rPr>
                                <w:t xml:space="preserve">(1–4)</w:t>
                              </w:r>
                            </w:p>
                          </w:txbxContent>
                        </wps:txbx>
                        <wps:bodyPr rot="0" vert="horz" wrap="square" lIns="36000" tIns="18000" rIns="36000" bIns="18000" anchor="ctr" anchorCtr="0">
                          <a:noAutofit/>
                        </wps:bodyPr>
                      </wps:wsp>
                      <wps:wsp>
                        <wps:cNvPr id="6" name="Shape 6"/>
                        <wps:cNvSpPr/>
                        <wps:spPr>
                          <a:xfrm>
                            <a:off x="4572000" y="1152000"/>
                            <a:ext cx="1296000" cy="720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5. Bloklar</w:t>
                              </w:r>
                            </w:p>
                            <w:p>
                              <w:pPr>
                                <w:spacing w:before="0" w:after="0" w:line="228" w:lineRule="auto"/>
                                <w:jc w:val="center"/>
                                <w:ind w:firstLine="0"/>
                              </w:pPr>
                              <w:r>
                                <w:rPr>
                                  <w:rFonts w:ascii="Times New Roman" w:hAnsi="Times New Roman" w:cs="Times New Roman"/>
                                  <w:b/>
                                  <w:color w:val="FFFFFF"/>
                                  <w:sz w:val="20"/>
                                  <w:szCs w:val="20"/>
                                </w:rPr>
                                <w:t xml:space="preserve">ballari</w:t>
                              </w:r>
                            </w:p>
                          </w:txbxContent>
                        </wps:txbx>
                        <wps:bodyPr rot="0" vert="horz" wrap="square" lIns="36000" tIns="18000" rIns="36000" bIns="18000" anchor="ctr" anchorCtr="0">
                          <a:noAutofit/>
                        </wps:bodyPr>
                      </wps:wsp>
                      <wps:wsp>
                        <wps:cNvPr id="7" name="Shape 7"/>
                        <wps:cNvSpPr/>
                        <wps:spPr>
                          <a:xfrm>
                            <a:off x="3060000" y="1152000"/>
                            <a:ext cx="1296000" cy="720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6. Vaznlash:</w:t>
                              </w:r>
                            </w:p>
                            <w:p>
                              <w:pPr>
                                <w:spacing w:before="0" w:after="0" w:line="228" w:lineRule="auto"/>
                                <w:jc w:val="center"/>
                                <w:ind w:firstLine="0"/>
                              </w:pPr>
                              <w:r>
                                <w:rPr>
                                  <w:rFonts w:ascii="Times New Roman" w:hAnsi="Times New Roman" w:cs="Times New Roman"/>
                                  <w:b/>
                                  <w:color w:val="FFFFFF"/>
                                  <w:sz w:val="20"/>
                                  <w:szCs w:val="20"/>
                                </w:rPr>
                                <w:t xml:space="preserve">0,25; 0,30; 0,20;</w:t>
                              </w:r>
                            </w:p>
                            <w:p>
                              <w:pPr>
                                <w:spacing w:before="0" w:after="0" w:line="228" w:lineRule="auto"/>
                                <w:jc w:val="center"/>
                                <w:ind w:firstLine="0"/>
                              </w:pPr>
                              <w:r>
                                <w:rPr>
                                  <w:rFonts w:ascii="Times New Roman" w:hAnsi="Times New Roman" w:cs="Times New Roman"/>
                                  <w:b/>
                                  <w:color w:val="FFFFFF"/>
                                  <w:sz w:val="20"/>
                                  <w:szCs w:val="20"/>
                                </w:rPr>
                                <w:t xml:space="preserve">0,15; 0,10</w:t>
                              </w:r>
                            </w:p>
                          </w:txbxContent>
                        </wps:txbx>
                        <wps:bodyPr rot="0" vert="horz" wrap="square" lIns="36000" tIns="18000" rIns="36000" bIns="18000" anchor="ctr" anchorCtr="0">
                          <a:noAutofit/>
                        </wps:bodyPr>
                      </wps:wsp>
                      <wps:wsp>
                        <wps:cNvPr id="8" name="Shape 8"/>
                        <wps:cNvSpPr/>
                        <wps:spPr>
                          <a:xfrm>
                            <a:off x="1548000" y="1152000"/>
                            <a:ext cx="1296000" cy="720000"/>
                          </a:xfrm>
                          <a:prstGeom prst="roundRect">
                            <a:avLst>
                              <a:gd name="adj" fmla="val 10000"/>
                            </a:avLst>
                          </a:prstGeom>
                          <a:solidFill>
                            <a:srgbClr val="7030A0"/>
                          </a:solidFill>
                          <a:ln w="12700">
                            <a:solidFill>
                              <a:srgbClr val="7030A0"/>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7. MBII va</w:t>
                              </w:r>
                            </w:p>
                            <w:p>
                              <w:pPr>
                                <w:spacing w:before="0" w:after="0" w:line="228" w:lineRule="auto"/>
                                <w:jc w:val="center"/>
                                <w:ind w:firstLine="0"/>
                              </w:pPr>
                              <w:r>
                                <w:rPr>
                                  <w:rFonts w:ascii="Times New Roman" w:hAnsi="Times New Roman" w:cs="Times New Roman"/>
                                  <w:b/>
                                  <w:color w:val="FFFFFF"/>
                                  <w:sz w:val="20"/>
                                  <w:szCs w:val="20"/>
                                </w:rPr>
                                <w:t xml:space="preserve">barqarorlik</w:t>
                              </w:r>
                            </w:p>
                            <w:p>
                              <w:pPr>
                                <w:spacing w:before="0" w:after="0" w:line="228" w:lineRule="auto"/>
                                <w:jc w:val="center"/>
                                <w:ind w:firstLine="0"/>
                              </w:pPr>
                              <w:r>
                                <w:rPr>
                                  <w:rFonts w:ascii="Times New Roman" w:hAnsi="Times New Roman" w:cs="Times New Roman"/>
                                  <w:b/>
                                  <w:color w:val="FFFFFF"/>
                                  <w:sz w:val="20"/>
                                  <w:szCs w:val="20"/>
                                </w:rPr>
                                <w:t xml:space="preserve">sinfi</w:t>
                              </w:r>
                            </w:p>
                          </w:txbxContent>
                        </wps:txbx>
                        <wps:bodyPr rot="0" vert="horz" wrap="square" lIns="36000" tIns="18000" rIns="36000" bIns="18000" anchor="ctr" anchorCtr="0">
                          <a:noAutofit/>
                        </wps:bodyPr>
                      </wps:wsp>
                      <wps:wsp>
                        <wps:cNvPr id="9" name="Shape 9"/>
                        <wps:cNvSpPr/>
                        <wps:spPr>
                          <a:xfrm>
                            <a:off x="36000" y="1152000"/>
                            <a:ext cx="1296000" cy="720000"/>
                          </a:xfrm>
                          <a:prstGeom prst="roundRect">
                            <a:avLst>
                              <a:gd name="adj" fmla="val 10000"/>
                            </a:avLst>
                          </a:prstGeom>
                          <a:solidFill>
                            <a:srgbClr val="C00000"/>
                          </a:solidFill>
                          <a:ln w="12700">
                            <a:solidFill>
                              <a:srgbClr val="C00000"/>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8. Nazorat choralari,</w:t>
                              </w:r>
                            </w:p>
                            <w:p>
                              <w:pPr>
                                <w:spacing w:before="0" w:after="0" w:line="228" w:lineRule="auto"/>
                                <w:jc w:val="center"/>
                                <w:ind w:firstLine="0"/>
                              </w:pPr>
                              <w:r>
                                <w:rPr>
                                  <w:rFonts w:ascii="Times New Roman" w:hAnsi="Times New Roman" w:cs="Times New Roman"/>
                                  <w:b/>
                                  <w:color w:val="FFFFFF"/>
                                  <w:sz w:val="20"/>
                                  <w:szCs w:val="20"/>
                                </w:rPr>
                                <w:t xml:space="preserve">ΔMBII, erta</w:t>
                              </w:r>
                            </w:p>
                            <w:p>
                              <w:pPr>
                                <w:spacing w:before="0" w:after="0" w:line="228" w:lineRule="auto"/>
                                <w:jc w:val="center"/>
                                <w:ind w:firstLine="0"/>
                              </w:pPr>
                              <w:r>
                                <w:rPr>
                                  <w:rFonts w:ascii="Times New Roman" w:hAnsi="Times New Roman" w:cs="Times New Roman"/>
                                  <w:b/>
                                  <w:color w:val="FFFFFF"/>
                                  <w:sz w:val="20"/>
                                  <w:szCs w:val="20"/>
                                </w:rPr>
                                <w:t xml:space="preserve">ogohlantirish</w:t>
                              </w:r>
                            </w:p>
                          </w:txbxContent>
                        </wps:txbx>
                        <wps:bodyPr rot="0" vert="horz" wrap="square" lIns="36000" tIns="18000" rIns="36000" bIns="18000" anchor="ctr" anchorCtr="0">
                          <a:noAutofit/>
                        </wps:bodyPr>
                      </wps:wsp>
                      <wps:wsp>
                        <wps:cNvPr id="10" name="Connector 10"/>
                        <wps:cNvCnPr/>
                        <wps:spPr>
                          <a:xfrm>
                            <a:off x="1339200" y="432000"/>
                            <a:ext cx="201600" cy="0"/>
                          </a:xfrm>
                          <a:prstGeom prst="straightConnector1">
                            <a:avLst/>
                          </a:prstGeom>
                          <a:ln w="19050">
                            <a:solidFill>
                              <a:srgbClr val="404040"/>
                            </a:solidFill>
                            <a:tailEnd type="triangle" w="med" len="med"/>
                          </a:ln>
                        </wps:spPr>
                        <wps:bodyPr/>
                      </wps:wsp>
                      <wps:wsp>
                        <wps:cNvPr id="11" name="Connector 11"/>
                        <wps:cNvCnPr/>
                        <wps:spPr>
                          <a:xfrm>
                            <a:off x="2851200" y="432000"/>
                            <a:ext cx="201600" cy="0"/>
                          </a:xfrm>
                          <a:prstGeom prst="straightConnector1">
                            <a:avLst/>
                          </a:prstGeom>
                          <a:ln w="19050">
                            <a:solidFill>
                              <a:srgbClr val="404040"/>
                            </a:solidFill>
                            <a:tailEnd type="triangle" w="med" len="med"/>
                          </a:ln>
                        </wps:spPr>
                        <wps:bodyPr/>
                      </wps:wsp>
                      <wps:wsp>
                        <wps:cNvPr id="12" name="Connector 12"/>
                        <wps:cNvCnPr/>
                        <wps:spPr>
                          <a:xfrm>
                            <a:off x="4363200" y="432000"/>
                            <a:ext cx="201600" cy="0"/>
                          </a:xfrm>
                          <a:prstGeom prst="straightConnector1">
                            <a:avLst/>
                          </a:prstGeom>
                          <a:ln w="19050">
                            <a:solidFill>
                              <a:srgbClr val="404040"/>
                            </a:solidFill>
                            <a:tailEnd type="triangle" w="med" len="med"/>
                          </a:ln>
                        </wps:spPr>
                        <wps:bodyPr/>
                      </wps:wsp>
                      <wps:wsp>
                        <wps:cNvPr id="13" name="Connector 13"/>
                        <wps:cNvCnPr/>
                        <wps:spPr>
                          <a:xfrm>
                            <a:off x="5220000" y="799200"/>
                            <a:ext cx="0" cy="345600"/>
                          </a:xfrm>
                          <a:prstGeom prst="straightConnector1">
                            <a:avLst/>
                          </a:prstGeom>
                          <a:ln w="19050">
                            <a:solidFill>
                              <a:srgbClr val="404040"/>
                            </a:solidFill>
                            <a:tailEnd type="triangle" w="med" len="med"/>
                          </a:ln>
                        </wps:spPr>
                        <wps:bodyPr/>
                      </wps:wsp>
                      <wps:wsp>
                        <wps:cNvPr id="14" name="Connector 14"/>
                        <wps:cNvCnPr/>
                        <wps:spPr>
                          <a:xfrm flipH="1">
                            <a:off x="4363200" y="1512000"/>
                            <a:ext cx="201600" cy="0"/>
                          </a:xfrm>
                          <a:prstGeom prst="straightConnector1">
                            <a:avLst/>
                          </a:prstGeom>
                          <a:ln w="19050">
                            <a:solidFill>
                              <a:srgbClr val="404040"/>
                            </a:solidFill>
                            <a:tailEnd type="triangle" w="med" len="med"/>
                          </a:ln>
                        </wps:spPr>
                        <wps:bodyPr/>
                      </wps:wsp>
                      <wps:wsp>
                        <wps:cNvPr id="15" name="Connector 15"/>
                        <wps:cNvCnPr/>
                        <wps:spPr>
                          <a:xfrm flipH="1">
                            <a:off x="2851200" y="1512000"/>
                            <a:ext cx="201600" cy="0"/>
                          </a:xfrm>
                          <a:prstGeom prst="straightConnector1">
                            <a:avLst/>
                          </a:prstGeom>
                          <a:ln w="19050">
                            <a:solidFill>
                              <a:srgbClr val="404040"/>
                            </a:solidFill>
                            <a:tailEnd type="triangle" w="med" len="med"/>
                          </a:ln>
                        </wps:spPr>
                        <wps:bodyPr/>
                      </wps:wsp>
                      <wps:wsp>
                        <wps:cNvPr id="16" name="Connector 16"/>
                        <wps:cNvCnPr/>
                        <wps:spPr>
                          <a:xfrm flipH="1">
                            <a:off x="1339200" y="1512000"/>
                            <a:ext cx="201600" cy="0"/>
                          </a:xfrm>
                          <a:prstGeom prst="straightConnector1">
                            <a:avLst/>
                          </a:prstGeom>
                          <a:ln w="19050">
                            <a:solidFill>
                              <a:srgbClr val="404040"/>
                            </a:solidFill>
                            <a:tailEnd type="triangle" w="med" len="med"/>
                          </a:ln>
                        </wps:spPr>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3.1.1-rasm. Moliyaviy barqarorlikning integral indeksini hisoblash algoritmi</w:t>
      </w:r>
      <w:r>
        <w:rPr>
          <w:rStyle w:val="FootnoteReference"/>
        </w:rPr>
        <w:footnoteReference w:id="25"/>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algoritm sakkiz bosqichdan iborat bo‘lib, uning o‘ziga xos jihati ikkinchi bosqichda namoyon bo‘ladi: agar bankning joriy davr uchun MHXS hisoboti mavjud bo‘lsa, aktivlar sifati va kapital ko‘rsatkichlari to‘g‘ridan-to‘g‘ri MHXS ma’lumotlaridan hisoblanadi, mavjud bo‘lmasa, ya’ni oylik va choraklik baholashda, milliy hisobot ma’lumotlari 2.3-paragrafda taklif etilgan tuzatish koeffitsiyentlari yordamida xalqaro standartlarga moslashtiriladi. Natijada indeksning ikki shakli hosil bo‘ladi: milliy hisobot ma’lumotlari asosidagi MBII-milliy va MHXS hamda Bazel III metodikasi asosidagi MBII-MHXS. Ular o‘rtasidagi farq, ya’ni ΔMBII, milliy hisobot asosidagi baholash bankning moliyaviy barqarorligini qanchalik oshirib yoki kamsitib ko‘rsatishini o‘lchaydi.</w:t>
      </w:r>
    </w:p>
    <w:p>
      <w:pPr>
        <w:pStyle w:val="BodyText"/>
        <w:spacing w:line="360" w:lineRule="auto" w:before="0" w:after="0"/>
        <w:ind w:firstLine="709"/>
        <w:jc w:val="both"/>
      </w:pPr>
      <w:r>
        <w:rPr>
          <w:rFonts w:ascii="Times New Roman" w:hAnsi="Times New Roman" w:cs="Times New Roman" w:eastAsia="Times New Roman"/>
          <w:sz w:val="28"/>
        </w:rPr>
        <w:t xml:space="preserve">Ko‘rsatkichlarni tanlashda to‘rt mezonga amal qilindi. Birinchisi – xalqaro standartga bog‘liqlik: har bir ko‘rsatkich Bazel III, MHXS 9 yoki Xalqaro valyuta jamg‘armasining moliyaviy barqarorlik ko‘rsatkichlari ro‘yxatida mavjud bo‘lishi kerak</w:t>
      </w:r>
      <w:r>
        <w:rPr>
          <w:rStyle w:val="FootnoteReference"/>
        </w:rPr>
        <w:footnoteReference w:id="26"/>
      </w:r>
      <w:r>
        <w:rPr>
          <w:rFonts w:ascii="Times New Roman" w:hAnsi="Times New Roman" w:cs="Times New Roman" w:eastAsia="Times New Roman"/>
          <w:sz w:val="28"/>
        </w:rPr>
        <w:t xml:space="preserve">. Ikkinchisi – ochiq ma’lumotlar asosida hisoblanish imkoniyati: ko‘rsatkich banklar e’lon qiladigan hisobotlardan hisoblanishi lozim. Uchinchisi – takrorlanmaslik: A.M. Karminskiy ta’kidlaganidek, reyting modeliga bir xil mazmundagi ko‘rsatkichlarni kiritish ularning vaznini sun’iy oshiradi</w:t>
      </w:r>
      <w:r>
        <w:rPr>
          <w:rStyle w:val="FootnoteReference"/>
        </w:rPr>
        <w:footnoteReference w:id="27"/>
      </w:r>
      <w:r>
        <w:rPr>
          <w:rFonts w:ascii="Times New Roman" w:hAnsi="Times New Roman" w:cs="Times New Roman" w:eastAsia="Times New Roman"/>
          <w:sz w:val="28"/>
        </w:rPr>
        <w:t xml:space="preserve">. To‘rtinchisi – iqtisodiy talqin qilinishi: ko‘rsatkich qiymatining o‘sishi barqarorlikni oshirishi yoki pasaytirishi aniq bo‘lishi kerak. Ushbu mezonlar asosida 1.2-paragrafda asoslangan besh blok bo‘yicha 14 ta ko‘rsatkich tanlandi (3.1.2-jadval).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3.1.2-jadval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barqarorlikning integral indeksi ko‘rsatkichlari va ularning chegaraviy qiymatlari</w:t>
      </w:r>
      <w:r>
        <w:rPr>
          <w:rStyle w:val="FootnoteReference"/>
        </w:rPr>
        <w:footnoteReference w:id="28"/>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515"/>
        <w:gridCol w:w="1360"/>
        <w:gridCol w:w="1105"/>
        <w:gridCol w:w="1105"/>
        <w:gridCol w:w="1105"/>
        <w:gridCol w:w="1105"/>
      </w:tblGrid>
      <w:tr>
        <w:trPr>
          <w:tblHeader w:val="true"/>
          <w:cantSplit/>
          <w:tblHeader/>
        </w:trPr>
        <w:tc>
          <w:tcPr>
            <w:tcW w:type="dxa" w:w="351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Blok va ko‘rsatkich</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Standart</w:t>
            </w:r>
          </w:p>
        </w:tc>
        <w:tc>
          <w:tcPr>
            <w:tcW w:type="dxa" w:w="1106"/>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1 ball</w:t>
            </w:r>
          </w:p>
        </w:tc>
        <w:tc>
          <w:tcPr>
            <w:tcW w:type="dxa" w:w="1106"/>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 ball</w:t>
            </w:r>
          </w:p>
        </w:tc>
        <w:tc>
          <w:tcPr>
            <w:tcW w:type="dxa" w:w="1106"/>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3 ball</w:t>
            </w:r>
          </w:p>
        </w:tc>
        <w:tc>
          <w:tcPr>
            <w:tcW w:type="dxa" w:w="1106"/>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4 ball</w:t>
            </w:r>
          </w:p>
        </w:tc>
      </w:tr>
      <w:tr>
        <w:trPr>
          <w:cantSplit/>
        </w:trPr>
        <w:tc>
          <w:tcPr>
            <w:tcW w:type="dxa" w:w="3515"/>
            <w:shd w:val="clear" w:color="auto" w:fill="F2F2F2"/>
          </w:tcPr>
          <w:p>
            <w:pPr>
              <w:pStyle w:val="Compact"/>
              <w:spacing w:line="240" w:lineRule="auto"/>
              <w:ind w:firstLine="0"/>
              <w:jc w:val="left"/>
            </w:pPr>
            <w:r>
              <w:rPr>
                <w:iCs/>
                <w:rFonts w:ascii="Times New Roman" w:hAnsi="Times New Roman" w:cs="Times New Roman" w:eastAsia="Times New Roman"/>
                <w:i/>
                <w:sz w:val="22"/>
              </w:rPr>
              <w:t xml:space="preserve">Kapital yetarliligi</w:t>
            </w:r>
          </w:p>
        </w:tc>
        <w:tc>
          <w:tcPr>
            <w:tcW w:type="dxa" w:w="1361"/>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K1. Birinchi darajali asosiy kapital monandligi,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Bazel III, 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4,5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7,0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8,0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10,5</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K2. Regulyativ kapital monandligi,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Bazel III, 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8,0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13,0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15,5</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K3. Leverage,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Bazel III, 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3,0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4,0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6,0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8,0</w:t>
            </w:r>
          </w:p>
        </w:tc>
      </w:tr>
      <w:tr>
        <w:trPr>
          <w:cantSplit/>
        </w:trPr>
        <w:tc>
          <w:tcPr>
            <w:tcW w:type="dxa" w:w="3515"/>
            <w:shd w:val="clear" w:color="auto" w:fill="F2F2F2"/>
          </w:tcPr>
          <w:p>
            <w:pPr>
              <w:pStyle w:val="Compact"/>
              <w:spacing w:line="240" w:lineRule="auto"/>
              <w:ind w:firstLine="0"/>
              <w:jc w:val="left"/>
            </w:pPr>
            <w:r>
              <w:rPr>
                <w:iCs/>
                <w:rFonts w:ascii="Times New Roman" w:hAnsi="Times New Roman" w:cs="Times New Roman" w:eastAsia="Times New Roman"/>
                <w:i/>
                <w:sz w:val="22"/>
              </w:rPr>
              <w:t xml:space="preserve">Aktivlar sifati</w:t>
            </w:r>
          </w:p>
        </w:tc>
        <w:tc>
          <w:tcPr>
            <w:tcW w:type="dxa" w:w="1361"/>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A1. 3-bosqich kreditlari ulushi,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MHXS 9, 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3</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A2. 2-bosqich kreditlari ulushi,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MHXS 9</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35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25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10</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A3. Zaxira bilan qoplanmagan muammoli kreditlar / kapital,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30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20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0</w:t>
            </w:r>
          </w:p>
        </w:tc>
      </w:tr>
      <w:tr>
        <w:trPr>
          <w:cantSplit/>
        </w:trPr>
        <w:tc>
          <w:tcPr>
            <w:tcW w:type="dxa" w:w="3515"/>
            <w:shd w:val="clear" w:color="auto" w:fill="F2F2F2"/>
          </w:tcPr>
          <w:p>
            <w:pPr>
              <w:pStyle w:val="Compact"/>
              <w:spacing w:line="240" w:lineRule="auto"/>
              <w:ind w:firstLine="0"/>
              <w:jc w:val="left"/>
            </w:pPr>
            <w:r>
              <w:rPr>
                <w:iCs/>
                <w:rFonts w:ascii="Times New Roman" w:hAnsi="Times New Roman" w:cs="Times New Roman" w:eastAsia="Times New Roman"/>
                <w:i/>
                <w:sz w:val="22"/>
              </w:rPr>
              <w:t xml:space="preserve">Likvidlik</w:t>
            </w:r>
          </w:p>
        </w:tc>
        <w:tc>
          <w:tcPr>
            <w:tcW w:type="dxa" w:w="1361"/>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L1. Likvidlikni qoplash koeffitsiyenti,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Bazel III, 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90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120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150</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L2. Sof barqaror moliyalashtirish me’yori,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Bazel III, 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90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110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120</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L3. Kreditlar / mijozlar depozitlari,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200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150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80</w:t>
            </w:r>
          </w:p>
        </w:tc>
      </w:tr>
      <w:tr>
        <w:trPr>
          <w:cantSplit/>
        </w:trPr>
        <w:tc>
          <w:tcPr>
            <w:tcW w:type="dxa" w:w="3515"/>
            <w:shd w:val="clear" w:color="auto" w:fill="F2F2F2"/>
          </w:tcPr>
          <w:p>
            <w:pPr>
              <w:pStyle w:val="Compact"/>
              <w:spacing w:line="240" w:lineRule="auto"/>
              <w:ind w:firstLine="0"/>
              <w:jc w:val="left"/>
            </w:pPr>
            <w:r>
              <w:rPr>
                <w:iCs/>
                <w:rFonts w:ascii="Times New Roman" w:hAnsi="Times New Roman" w:cs="Times New Roman" w:eastAsia="Times New Roman"/>
                <w:i/>
                <w:sz w:val="22"/>
              </w:rPr>
              <w:t xml:space="preserve">Daromadlilik</w:t>
            </w:r>
          </w:p>
        </w:tc>
        <w:tc>
          <w:tcPr>
            <w:tcW w:type="dxa" w:w="1361"/>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D1. Aktivlar rentabelligi (ROA),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0,7</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1,4</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2,0</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D2. Kapital rentabelligi (ROE),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15</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D3. Xarajatlar / daromadlar,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100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80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60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45</w:t>
            </w:r>
          </w:p>
        </w:tc>
      </w:tr>
      <w:tr>
        <w:trPr>
          <w:cantSplit/>
        </w:trPr>
        <w:tc>
          <w:tcPr>
            <w:tcW w:type="dxa" w:w="3515"/>
            <w:shd w:val="clear" w:color="auto" w:fill="F2F2F2"/>
          </w:tcPr>
          <w:p>
            <w:pPr>
              <w:pStyle w:val="Compact"/>
              <w:spacing w:line="240" w:lineRule="auto"/>
              <w:ind w:firstLine="0"/>
              <w:jc w:val="left"/>
            </w:pPr>
            <w:r>
              <w:rPr>
                <w:iCs/>
                <w:rFonts w:ascii="Times New Roman" w:hAnsi="Times New Roman" w:cs="Times New Roman" w:eastAsia="Times New Roman"/>
                <w:i/>
                <w:sz w:val="22"/>
              </w:rPr>
              <w:t xml:space="preserve">Valyuta riskiga sezgirlik</w:t>
            </w:r>
          </w:p>
        </w:tc>
        <w:tc>
          <w:tcPr>
            <w:tcW w:type="dxa" w:w="1361"/>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V1. Xorijiy valyutadagi kreditlar ulushi,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65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50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35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20</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V2. Xorijiy valyutadagi majburiyatlar ulushi,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70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55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40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25</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oraliq qiymatlar uchun ball chiziqli interpolyatsiya orqali aniqlanadi; 4 ball – eng yuqori barqarorlik.</w:t>
      </w:r>
    </w:p>
    <w:p>
      <w:pPr>
        <w:pStyle w:val="BodyText"/>
        <w:spacing w:line="360" w:lineRule="auto" w:before="0" w:after="0"/>
        <w:ind w:firstLine="709"/>
        <w:jc w:val="both"/>
      </w:pPr>
      <w:r>
        <w:rPr>
          <w:rFonts w:ascii="Times New Roman" w:hAnsi="Times New Roman" w:cs="Times New Roman" w:eastAsia="Times New Roman"/>
          <w:sz w:val="28"/>
        </w:rPr>
        <w:t xml:space="preserve">Jadvalda keltirilgan chegaralarni belgilashda «me’yoriy talab – ball chegarasi» tamoyili qo‘llandi. Bu tamoyil Rossiya Banki metodikasida ham asosiy hisoblanadi: unda kapital monandligi normativi bo‘yicha ball chegaralari aynan normativning minimal qiymati va undan yuqori bir necha darajalar sifatida belgilangan</w:t>
      </w:r>
      <w:r>
        <w:rPr>
          <w:rStyle w:val="FootnoteReference"/>
        </w:rPr>
        <w:footnoteReference w:id="29"/>
      </w:r>
      <w:r>
        <w:rPr>
          <w:rFonts w:ascii="Times New Roman" w:hAnsi="Times New Roman" w:cs="Times New Roman" w:eastAsia="Times New Roman"/>
          <w:sz w:val="28"/>
        </w:rPr>
        <w:t xml:space="preserve">. Shu bilan birga, Rossiya Banki shkalasida 1 ball eng yaxshi, 4 ball esa eng yomon holatni bildiradi, taklif etilayotgan metodikada esa ball ortishi barqarorlik oshishini anglatadi, bu indeksni intuitiv talqin qilishni osonlashtiradi. Kapital blokida birinchi darajali asosiy kapital uchun 1 ball chegarasi sifatida Bazel III dagi 4,5 foizlik minimal talab, 2 ball chegarasi sifatida unga 2,5 foizlik kapitalni saqlash buferi qo‘shilgan 7 foiz, 3 ball chegarasi sifatida milliy minimal talab – 8 foiz</w:t>
      </w:r>
      <w:r>
        <w:rPr>
          <w:rStyle w:val="FootnoteReference"/>
        </w:rPr>
        <w:footnoteReference w:id="30"/>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olindi, 4 ball chegarasi esa tizimli ahamiyatga ega bank uchun qo‘shimcha talab va kontrsiklik bufer bilan birga Bazel III bo‘yicha talab qilinishi mumkin bo‘lgan 10,5 foiz darajasida belgilandi</w:t>
      </w:r>
      <w:r>
        <w:rPr>
          <w:rStyle w:val="FootnoteReference"/>
        </w:rPr>
        <w:footnoteReference w:id="31"/>
      </w:r>
      <w:r>
        <w:rPr>
          <w:rStyle w:val="FootnoteReference"/>
        </w:rPr>
        <w:footnoteReference w:id="32"/>
      </w:r>
      <w:r>
        <w:rPr>
          <w:rFonts w:ascii="Times New Roman" w:hAnsi="Times New Roman" w:cs="Times New Roman" w:eastAsia="Times New Roman"/>
          <w:sz w:val="28"/>
        </w:rPr>
        <w:t xml:space="preserve">. Regulyativ kapital uchun ham xuddi shu mantiq qo‘llandi: 8 foiz – Bazel III minimumi, 10,5 foiz – bufer bilan, 13 foiz – milliy talab, 15,5 foiz – milliy talab va bufer. Leverage uchun chegaralar Bazel III dagi 3 foiz, AQSh nazorat amaliyotidagi 4 foiz</w:t>
      </w:r>
      <w:r>
        <w:rPr>
          <w:rStyle w:val="FootnoteReference"/>
        </w:rPr>
        <w:footnoteReference w:id="33"/>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 milliy talabdagi 6 foiz asosida belgilandi.</w:t>
      </w:r>
    </w:p>
    <w:p>
      <w:pPr>
        <w:pStyle w:val="BodyText"/>
        <w:spacing w:line="360" w:lineRule="auto" w:before="0" w:after="0"/>
        <w:ind w:firstLine="709"/>
        <w:jc w:val="both"/>
      </w:pPr>
      <w:r>
        <w:rPr>
          <w:rFonts w:ascii="Times New Roman" w:hAnsi="Times New Roman" w:cs="Times New Roman" w:eastAsia="Times New Roman"/>
          <w:sz w:val="28"/>
        </w:rPr>
        <w:t xml:space="preserve">Aktivlar sifati blokida 3-bosqich kreditlari ulushi uchun 5 foiz chegarasi erta ogohlantirish signali sifatida keng qo‘llanadigan muammoli kreditlar darajasiga</w:t>
      </w:r>
      <w:r>
        <w:rPr>
          <w:rStyle w:val="FootnoteReference"/>
        </w:rPr>
        <w:footnoteReference w:id="34"/>
      </w:r>
      <w:r>
        <w:rPr>
          <w:rFonts w:ascii="Times New Roman" w:hAnsi="Times New Roman" w:cs="Times New Roman" w:eastAsia="Times New Roman"/>
          <w:sz w:val="28"/>
        </w:rPr>
        <w:t xml:space="preserve">, 10 foiz esa O.I. Lavrushin tahriri ostidagi monografiyada salbiy vaziyat darakchisi sifatida ko‘rsatilgan qiymatga mos keladi</w:t>
      </w:r>
      <w:r>
        <w:rPr>
          <w:rStyle w:val="FootnoteReference"/>
        </w:rPr>
        <w:footnoteReference w:id="35"/>
      </w:r>
      <w:r>
        <w:rPr>
          <w:rFonts w:ascii="Times New Roman" w:hAnsi="Times New Roman" w:cs="Times New Roman" w:eastAsia="Times New Roman"/>
          <w:sz w:val="28"/>
        </w:rPr>
        <w:t xml:space="preserve">. 2-bosqich kreditlari ulushi uchun milliy amaliyotda tayyor mezon yo‘qligi sababli chegaralar ikkinchi bobda aniqlangan qiymatlar oralig‘i asosida belgilandi. Zaxira bilan qoplanmagan muammoli kreditlarning kapitalga nisbati Xalqaro valyuta jamg‘armasining asosiy ko‘rsatkichlaridan biri bo‘lib, u kapitalning qancha qismi kutilmagan kredit zararlari bilan yemirilishi mumkinligini ko‘rsatadi</w:t>
      </w:r>
      <w:r>
        <w:rPr>
          <w:rStyle w:val="FootnoteReference"/>
        </w:rPr>
        <w:footnoteReference w:id="36"/>
      </w:r>
      <w:r>
        <w:rPr>
          <w:rFonts w:ascii="Times New Roman" w:hAnsi="Times New Roman" w:cs="Times New Roman" w:eastAsia="Times New Roman"/>
          <w:sz w:val="28"/>
        </w:rPr>
        <w:t xml:space="preserve">. Likvidlik blokida likvidlikni qoplash koeffitsiyenti va sof barqaror moliyalashtirish me’yori uchun 2 ball chegarasi sifatida Bazel III dagi 100 foizlik talab olindi</w:t>
      </w:r>
      <w:r>
        <w:rPr>
          <w:rStyle w:val="FootnoteReference"/>
        </w:rPr>
        <w:footnoteReference w:id="37"/>
      </w:r>
      <w:r>
        <w:rPr>
          <w:rStyle w:val="FootnoteReference"/>
        </w:rPr>
        <w:footnoteReference w:id="38"/>
      </w:r>
      <w:r>
        <w:rPr>
          <w:rFonts w:ascii="Times New Roman" w:hAnsi="Times New Roman" w:cs="Times New Roman" w:eastAsia="Times New Roman"/>
          <w:sz w:val="28"/>
        </w:rPr>
        <w:t xml:space="preserve">, kreditlarning depozitlarga nisbati uchun esa likvidlik nizomida muammo belgisi deb ko‘rsatilgan 80 foiz</w:t>
      </w:r>
      <w:r>
        <w:rPr>
          <w:rStyle w:val="FootnoteReference"/>
        </w:rPr>
        <w:footnoteReference w:id="39"/>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 xalqaro amaliyotdagi kritik daraja – 100 foiz</w:t>
      </w:r>
      <w:r>
        <w:rPr>
          <w:rStyle w:val="FootnoteReference"/>
        </w:rPr>
        <w:footnoteReference w:id="40"/>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asos qilib olindi. Daromadlilik blokida aktivlar rentabelligi chegaralari Rossiya Banki shkalasidan (0; 0,7; 1,4 foiz) olindi</w:t>
      </w:r>
      <w:r>
        <w:rPr>
          <w:rStyle w:val="FootnoteReference"/>
        </w:rPr>
        <w:footnoteReference w:id="41"/>
      </w:r>
      <w:r>
        <w:rPr>
          <w:rFonts w:ascii="Times New Roman" w:hAnsi="Times New Roman" w:cs="Times New Roman" w:eastAsia="Times New Roman"/>
          <w:sz w:val="28"/>
        </w:rPr>
        <w:t xml:space="preserve">, kapital rentabelligi chegaralari esa O‘zbekistondagi yuqori inflyatsiyani hisobga olgan holda oshirildi, chunki inflyatsiyadan past bo‘lgan rentabellik kapitalning real qiymati kamayayotganini bildiradi. Xarajatlarning daromadlarga nisbati uchun 60 foizlik chegara ham Rossiya Banki amaliyotidan olingan</w:t>
      </w:r>
      <w:r>
        <w:rPr>
          <w:rStyle w:val="FootnoteReference"/>
        </w:rPr>
        <w:footnoteReference w:id="42"/>
      </w:r>
      <w:r>
        <w:rPr>
          <w:rFonts w:ascii="Times New Roman" w:hAnsi="Times New Roman" w:cs="Times New Roman" w:eastAsia="Times New Roman"/>
          <w:sz w:val="28"/>
        </w:rPr>
        <w:t xml:space="preserve">. Valyuta riskiga sezgirlik bloki esa dollarlashuv darajasi yuqori bo‘lgan mamlakatlar uchun zarur bo‘lib, L. Izzi va hammualliflarning bank reyting modelida rivojlanayotgan mamlakatlar banklari uchun xorijiy valyutadagi likvidlikka sifat omillari ichida eng katta vazn berilgani ham buni tasdiqlaydi</w:t>
      </w:r>
      <w:r>
        <w:rPr>
          <w:rStyle w:val="FootnoteReference"/>
        </w:rPr>
        <w:footnoteReference w:id="43"/>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Ko‘rsatkichlarni ballga aylantirishda an’anaviy pog‘onali shkala o‘rniga chiziqli interpolyatsiyaga asoslangan uzluksiz shkala taklif etiladi. Pog‘onali shkalada, masalan, birinchi darajali asosiy kapital monandligi 10,4 va 8,1 foiz bo‘lgan ikki bank bir xil – 3 ball oladi, holbuki ularning barqarorligi sezilarli farq qiladi. Uzluksiz shkalada esa ball quyidagi formula bo‘yicha aniqlanadi:</w:t>
      </w:r>
    </w:p>
    <w:p>
      <w:pPr>
        <w:pStyle w:val="BodyText"/>
        <w:spacing w:line="360" w:lineRule="auto" w:before="0" w:after="0"/>
        <w:ind w:firstLine="709"/>
        <w:jc w:val="both"/>
      </w:pPr>
      <w:r>
        <w:rPr>
          <w:iCs/>
          <w:rFonts w:ascii="Times New Roman" w:hAnsi="Times New Roman" w:cs="Times New Roman" w:eastAsia="Times New Roman"/>
          <w:i/>
          <w:sz w:val="28"/>
        </w:rPr>
        <w:t xml:space="preserve">s</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k</w:t>
      </w:r>
      <w:r>
        <w:rPr>
          <w:rFonts w:ascii="Times New Roman" w:hAnsi="Times New Roman" w:cs="Times New Roman" w:eastAsia="Times New Roman"/>
          <w:sz w:val="28"/>
        </w:rPr>
        <w:t xml:space="preserve">) /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k+1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k</w:t>
      </w:r>
      <w:r>
        <w:rPr>
          <w:rFonts w:ascii="Times New Roman" w:hAnsi="Times New Roman" w:cs="Times New Roman" w:eastAsia="Times New Roman"/>
          <w:sz w:val="28"/>
        </w:rPr>
        <w:t xml:space="preserve">), agar</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&lt;</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k+1</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1, agar</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1</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4, agar</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4</w:t>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bu yerda</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i</w:t>
      </w:r>
      <w:r>
        <w:rPr>
          <w:rFonts w:ascii="Times New Roman" w:hAnsi="Times New Roman" w:cs="Times New Roman" w:eastAsia="Times New Roman"/>
          <w:sz w:val="28"/>
        </w:rPr>
        <w:t xml:space="preserve">-ko‘rsatkichning bali,</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uning qiymati,</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ballga mos chegaraviy qiymat (</w:t>
      </w:r>
      <w:r>
        <w:rPr>
          <w:iCs/>
          <w:rFonts w:ascii="Times New Roman" w:hAnsi="Times New Roman" w:cs="Times New Roman" w:eastAsia="Times New Roman"/>
          <w:i/>
          <w:sz w:val="28"/>
        </w:rPr>
        <w:t xml:space="preserve">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1, 2, 3). Qiymati qanchalik kam bo‘lsa, shunchalik yaxshi bo‘lgan ko‘rsatkichlar uchun formula teskari yo‘nalishda qo‘llanadi. Bunday yondashuvning afzalligini birinchi darajali asosiy kapital monandligi misolida ko‘rish mumkin (3.1.2-rasm).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2" name="3.1.2-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3.1.2-rasm. Birinchi darajali asosiy kapital monandligini ballga aylantirish funksiyasi</w:t>
      </w:r>
      <w:r>
        <w:rPr>
          <w:rStyle w:val="FootnoteReference"/>
        </w:rPr>
        <w:footnoteReference w:id="44"/>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taklif etilayotgan funksiya chegaraviy qiymatlarda pog‘onali shkala bilan bir xil natija beradi, ammo ular oralig‘ida bankning keyingi chegaragacha qancha masofa qolganini aks ettiradi. Bu xususiyat ayniqsa dinamik tahlilda muhim: pog‘onali shkalada kapital monandligining asta-sekin pasayishi chegara kesib o‘tilgunga qadar umuman sezilmaydi, uzluksiz shkalada esa har bir pasayish indeksda aks etadi va erta ogohlantirish imkonini beradi. A.M. Karminskiy ham reyting modellarida ballarni taqsimot funksiyasi asosida uzluksiz shkalada berish modelning sezgirligini oshirishini ko‘rsatgan</w:t>
      </w:r>
      <w:r>
        <w:rPr>
          <w:rStyle w:val="FootnoteReference"/>
        </w:rPr>
        <w:footnoteReference w:id="45"/>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Bloklar ichida ko‘rsatkichlarga teng vazn beriladi, blok bali esa uning ko‘rsatkichlari ballarining o‘rtacha arifmetigi sifatida aniqlanadi. Integral indeks esa bloklar ballarining vaznli yig‘indisi sifatida hisoblanadi:</w:t>
      </w:r>
    </w:p>
    <w:p>
      <w:pPr>
        <w:pStyle w:val="BodyText"/>
        <w:spacing w:line="360" w:lineRule="auto" w:before="0" w:after="0"/>
        <w:ind w:firstLine="709"/>
        <w:jc w:val="both"/>
      </w:pPr>
      <w:r>
        <w:rPr>
          <w:rFonts w:ascii="Times New Roman" w:hAnsi="Times New Roman" w:cs="Times New Roman" w:eastAsia="Times New Roman"/>
          <w:sz w:val="28"/>
        </w:rPr>
        <w:t xml:space="preserve">MBII = Σ</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w</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B</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B</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(1 /</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n</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 Σ</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w:t>
      </w:r>
      <w:r>
        <w:rPr>
          <w:rFonts w:ascii="Times New Roman" w:hAnsi="Times New Roman" w:cs="Times New Roman" w:eastAsia="Times New Roman"/>
          <w:sz w:val="28"/>
          <w:vertAlign w:val="subscript"/>
        </w:rPr>
        <w:t xml:space="preserve">ij</w:t>
      </w:r>
      <w:r>
        <w:rPr>
          <w:rFonts w:ascii="Times New Roman" w:hAnsi="Times New Roman" w:cs="Times New Roman" w:eastAsia="Times New Roman"/>
          <w:sz w:val="28"/>
        </w:rPr>
        <w:t xml:space="preserve">, Σ</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w</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1,</w:t>
      </w:r>
    </w:p>
    <w:p>
      <w:pPr>
        <w:pStyle w:val="BodyText"/>
        <w:spacing w:line="360" w:lineRule="auto" w:before="0" w:after="0"/>
        <w:ind w:firstLine="709"/>
        <w:jc w:val="both"/>
      </w:pPr>
      <w:r>
        <w:rPr>
          <w:rFonts w:ascii="Times New Roman" w:hAnsi="Times New Roman" w:cs="Times New Roman" w:eastAsia="Times New Roman"/>
          <w:sz w:val="28"/>
        </w:rPr>
        <w:t xml:space="preserve">bu yerda</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B</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j</w:t>
      </w:r>
      <w:r>
        <w:rPr>
          <w:rFonts w:ascii="Times New Roman" w:hAnsi="Times New Roman" w:cs="Times New Roman" w:eastAsia="Times New Roman"/>
          <w:sz w:val="28"/>
        </w:rPr>
        <w:t xml:space="preserve">-blok bali,</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w</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uning vazni,</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n</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blokdagi ko‘rsatkichlar soni. Vaznlarni aniqlash metodikaning eng munozarali masalasi hisoblanadi. O.I. Lavrushin va I.D. Mamonova vazn koeffitsiyentlarini belgilash reyting baholashning eng munozarali va subyektiv jihati ekanini tan olib, ammo boshqa yo‘l yo‘qligini ta’kidlaydi</w:t>
      </w:r>
      <w:r>
        <w:rPr>
          <w:rStyle w:val="FootnoteReference"/>
        </w:rPr>
        <w:footnoteReference w:id="46"/>
      </w:r>
      <w:r>
        <w:rPr>
          <w:rFonts w:ascii="Times New Roman" w:hAnsi="Times New Roman" w:cs="Times New Roman" w:eastAsia="Times New Roman"/>
          <w:sz w:val="28"/>
        </w:rPr>
        <w:t xml:space="preserve">. Rossiyadagi reyting metodikalarini tahlil qilgan mualliflar ham vaznlar ko‘pincha asoslanmagan ekspert yo‘li bilan belgilanishini qayd etgan</w:t>
      </w:r>
      <w:r>
        <w:rPr>
          <w:rStyle w:val="FootnoteReference"/>
        </w:rPr>
        <w:footnoteReference w:id="47"/>
      </w:r>
      <w:r>
        <w:rPr>
          <w:rFonts w:ascii="Times New Roman" w:hAnsi="Times New Roman" w:cs="Times New Roman" w:eastAsia="Times New Roman"/>
          <w:sz w:val="28"/>
        </w:rPr>
        <w:t xml:space="preserve">. Shu sababli taklif etilayotgan vaznlar uch manba asosida asoslandi va muqobil variantlar bilan solishtirildi (3.1.3-jadval).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3.1.3-jadval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barqarorlikning integral indeksi bloklari vaznlari va ularning asoslanishi</w:t>
      </w:r>
      <w:r>
        <w:rPr>
          <w:rStyle w:val="FootnoteReference"/>
        </w:rPr>
        <w:footnoteReference w:id="48"/>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1247"/>
        <w:gridCol w:w="1134"/>
        <w:gridCol w:w="1360"/>
        <w:gridCol w:w="3742"/>
      </w:tblGrid>
      <w:tr>
        <w:trPr>
          <w:tblHeader w:val="true"/>
          <w:cantSplit/>
          <w:tblHeader/>
        </w:trPr>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Blok</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Taklif etilayotgan vazn</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Teng vaznlar</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CAMEL nisbati (O‘zbekiston)</w:t>
            </w:r>
          </w:p>
        </w:tc>
        <w:tc>
          <w:tcPr>
            <w:tcW w:type="dxa" w:w="374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Asoslash</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Kapital yetarliligi</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0,25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0,20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0,23</w:t>
            </w:r>
          </w:p>
        </w:tc>
        <w:tc>
          <w:tcPr>
            <w:tcW w:type="dxa" w:w="3742"/>
          </w:tcPr>
          <w:p>
            <w:pPr>
              <w:pStyle w:val="Compact"/>
              <w:spacing w:line="240" w:lineRule="auto"/>
              <w:ind w:firstLine="0"/>
              <w:jc w:val="center"/>
            </w:pPr>
            <w:r>
              <w:rPr>
                <w:rFonts w:ascii="Times New Roman" w:hAnsi="Times New Roman" w:cs="Times New Roman" w:eastAsia="Times New Roman"/>
                <w:sz w:val="22"/>
              </w:rPr>
              <w:t xml:space="preserve">Bazel III ning asosiy talabi, zararlarni qoplovchi oxirgi bufer</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0,30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0,20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0,37</w:t>
            </w:r>
          </w:p>
        </w:tc>
        <w:tc>
          <w:tcPr>
            <w:tcW w:type="dxa" w:w="3742"/>
          </w:tcPr>
          <w:p>
            <w:pPr>
              <w:pStyle w:val="Compact"/>
              <w:spacing w:line="240" w:lineRule="auto"/>
              <w:ind w:firstLine="0"/>
              <w:jc w:val="center"/>
            </w:pPr>
            <w:r>
              <w:rPr>
                <w:rFonts w:ascii="Times New Roman" w:hAnsi="Times New Roman" w:cs="Times New Roman" w:eastAsia="Times New Roman"/>
                <w:sz w:val="22"/>
              </w:rPr>
              <w:t xml:space="preserve">II bobda eng zaif bo‘g‘in, milliy va MHXS tafovuti eng katta</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Likvidlik</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0,20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0,20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0,15</w:t>
            </w:r>
          </w:p>
        </w:tc>
        <w:tc>
          <w:tcPr>
            <w:tcW w:type="dxa" w:w="3742"/>
          </w:tcPr>
          <w:p>
            <w:pPr>
              <w:pStyle w:val="Compact"/>
              <w:spacing w:line="240" w:lineRule="auto"/>
              <w:ind w:firstLine="0"/>
              <w:jc w:val="center"/>
            </w:pPr>
            <w:r>
              <w:rPr>
                <w:rFonts w:ascii="Times New Roman" w:hAnsi="Times New Roman" w:cs="Times New Roman" w:eastAsia="Times New Roman"/>
                <w:sz w:val="22"/>
              </w:rPr>
              <w:t xml:space="preserve">Bazel III ning ikki me’yori, tashqi moliyalashtirishga tayanish</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Daromadlilik</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0,15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0,20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0,25</w:t>
            </w:r>
          </w:p>
        </w:tc>
        <w:tc>
          <w:tcPr>
            <w:tcW w:type="dxa" w:w="3742"/>
          </w:tcPr>
          <w:p>
            <w:pPr>
              <w:pStyle w:val="Compact"/>
              <w:spacing w:line="240" w:lineRule="auto"/>
              <w:ind w:firstLine="0"/>
              <w:jc w:val="center"/>
            </w:pPr>
            <w:r>
              <w:rPr>
                <w:rFonts w:ascii="Times New Roman" w:hAnsi="Times New Roman" w:cs="Times New Roman" w:eastAsia="Times New Roman"/>
                <w:sz w:val="22"/>
              </w:rPr>
              <w:t xml:space="preserve">Kapitalni ichki manbadan to‘ldirish imkoniyati</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Valyuta riskiga sezgirlik</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0,10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0,20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3742"/>
          </w:tcPr>
          <w:p>
            <w:pPr>
              <w:pStyle w:val="Compact"/>
              <w:spacing w:line="240" w:lineRule="auto"/>
              <w:ind w:firstLine="0"/>
              <w:jc w:val="center"/>
            </w:pPr>
            <w:r>
              <w:rPr>
                <w:rFonts w:ascii="Times New Roman" w:hAnsi="Times New Roman" w:cs="Times New Roman" w:eastAsia="Times New Roman"/>
                <w:sz w:val="22"/>
              </w:rPr>
              <w:t xml:space="preserve">Dollarlashuv yuqori, ammo pasayish tendensiyasida</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taklif etilayotgan vaznlar O‘zbekistonda CAMEL tizimi uchun T.M. Karaliyev va I.F. Sayfiddinov keltirgan nisbatga</w:t>
      </w:r>
      <w:r>
        <w:rPr>
          <w:rStyle w:val="FootnoteReference"/>
        </w:rPr>
        <w:footnoteReference w:id="49"/>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yaqin, biroq ikki jihatda farq qiladi. Birinchidan, aktivlar sifatining vazni 0,37 dan 0,30 ga kamaytirildi, chunki taklif etilayotgan metodikada aktivlar sifati MHXS 9 bo‘yicha baholanadi va kredit riski allaqachon to‘liqroq aks ettiriladi, bundan tashqari, kredit riski kapital bloki orqali ham qisman hisobga olinadi. Ikkinchidan, valyuta riskiga sezgirlik bloki uchun 0,10 vazn ajratildi, bu esa Xalqaro valyuta jamg‘armasining ko‘rsatkichlar tarkibida sof ochiq valyuta pozitsiyasi alohida o‘rin egallashiga va O‘zbekistonda dollarlashuv darajasi yuqoriligiga mos keladi. Vaznlarning muqobil variantlari esa keyinroq sezgirlik tahlilida qo‘llanadi. Vaznlarni tanlashning muqobil, ya’ni statistik usuli – L. Izzi va hammualliflar taklif etgan logit-regressiya koeffitsiyentlarini normallashtirish orqali vazn aniqlash</w:t>
      </w:r>
      <w:r>
        <w:rPr>
          <w:rStyle w:val="FootnoteReference"/>
        </w:rPr>
        <w:footnoteReference w:id="50"/>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bank defoltlari bo‘yicha yetarli tarixiy ma’lumot talab qiladi, shu sababli u dissertatsiyaning to‘rtinchi bobida erta ogohlantirish tizimini ishlab chiqishda qo‘llanadi.</w:t>
      </w:r>
    </w:p>
    <w:p>
      <w:pPr>
        <w:pStyle w:val="BodyText"/>
        <w:spacing w:line="360" w:lineRule="auto" w:before="0" w:after="0"/>
        <w:ind w:firstLine="709"/>
        <w:jc w:val="both"/>
      </w:pPr>
      <w:r>
        <w:rPr>
          <w:rFonts w:ascii="Times New Roman" w:hAnsi="Times New Roman" w:cs="Times New Roman" w:eastAsia="Times New Roman"/>
          <w:sz w:val="28"/>
        </w:rPr>
        <w:t xml:space="preserve">Integral indeks qiymati 1 dan 4 gacha bo‘lgan oraliqda bo‘ladi. Uni talqin qilish uchun oraliq to‘rt teng qismga bo‘linib, har biriga moliyaviy barqarorlik sinfi va unga mos nazorat choralari belgilandi (3.1.4-jadval).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3.1.4-jadval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 sinflari va ularga mos choralar</w:t>
      </w:r>
      <w:r>
        <w:rPr>
          <w:rStyle w:val="FootnoteReference"/>
        </w:rPr>
        <w:footnoteReference w:id="51"/>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1247"/>
        <w:gridCol w:w="2948"/>
        <w:gridCol w:w="3628"/>
      </w:tblGrid>
      <w:tr>
        <w:trPr>
          <w:tblHeader w:val="true"/>
          <w:cantSplit/>
          <w:tblHeader/>
        </w:trPr>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Sinf</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MBII qiymati</w:t>
            </w:r>
          </w:p>
        </w:tc>
        <w:tc>
          <w:tcPr>
            <w:tcW w:type="dxa" w:w="294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Tavsifi</w:t>
            </w:r>
          </w:p>
        </w:tc>
        <w:tc>
          <w:tcPr>
            <w:tcW w:type="dxa" w:w="362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Tavsiya etiladigan choralar</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I – barqaror</w:t>
            </w:r>
          </w:p>
        </w:tc>
        <w:tc>
          <w:tcPr>
            <w:tcW w:type="dxa" w:w="1247"/>
          </w:tcPr>
          <w:p>
            <w:pPr>
              <w:pStyle w:val="Compact"/>
              <w:spacing w:line="240" w:lineRule="auto"/>
              <w:ind w:firstLine="0"/>
              <w:jc w:val="left"/>
            </w:pPr>
            <w:r>
              <w:rPr>
                <w:rFonts w:ascii="Times New Roman" w:hAnsi="Times New Roman" w:cs="Times New Roman" w:eastAsia="Times New Roman"/>
                <w:sz w:val="22"/>
              </w:rPr>
              <w:t xml:space="preserve">3,25–4,00</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Barcha bloklar xalqaro mezonlardan yuqori, zaxira yetarli</w:t>
            </w:r>
          </w:p>
        </w:tc>
        <w:tc>
          <w:tcPr>
            <w:tcW w:type="dxa" w:w="3628"/>
          </w:tcPr>
          <w:p>
            <w:pPr>
              <w:pStyle w:val="Compact"/>
              <w:spacing w:line="240" w:lineRule="auto"/>
              <w:ind w:firstLine="0"/>
              <w:jc w:val="left"/>
            </w:pPr>
            <w:r>
              <w:rPr>
                <w:rFonts w:ascii="Times New Roman" w:hAnsi="Times New Roman" w:cs="Times New Roman" w:eastAsia="Times New Roman"/>
                <w:sz w:val="22"/>
              </w:rPr>
              <w:t xml:space="preserve">Odatdagi nazorat</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II – qoniqarli</w:t>
            </w:r>
          </w:p>
        </w:tc>
        <w:tc>
          <w:tcPr>
            <w:tcW w:type="dxa" w:w="1247"/>
          </w:tcPr>
          <w:p>
            <w:pPr>
              <w:pStyle w:val="Compact"/>
              <w:spacing w:line="240" w:lineRule="auto"/>
              <w:ind w:firstLine="0"/>
              <w:jc w:val="left"/>
            </w:pPr>
            <w:r>
              <w:rPr>
                <w:rFonts w:ascii="Times New Roman" w:hAnsi="Times New Roman" w:cs="Times New Roman" w:eastAsia="Times New Roman"/>
                <w:sz w:val="22"/>
              </w:rPr>
              <w:t xml:space="preserve">2,50–3,24</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Ayrim bloklarda zaiflik, ammo me’yorlar bajariladi</w:t>
            </w:r>
          </w:p>
        </w:tc>
        <w:tc>
          <w:tcPr>
            <w:tcW w:type="dxa" w:w="3628"/>
          </w:tcPr>
          <w:p>
            <w:pPr>
              <w:pStyle w:val="Compact"/>
              <w:spacing w:line="240" w:lineRule="auto"/>
              <w:ind w:firstLine="0"/>
              <w:jc w:val="left"/>
            </w:pPr>
            <w:r>
              <w:rPr>
                <w:rFonts w:ascii="Times New Roman" w:hAnsi="Times New Roman" w:cs="Times New Roman" w:eastAsia="Times New Roman"/>
                <w:sz w:val="22"/>
              </w:rPr>
              <w:t xml:space="preserve">Zaif bloklar bo‘yicha monitoringni kuchaytirish, bank tomonidan tiklanish rejasini yangilash</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III – zaif</w:t>
            </w:r>
          </w:p>
        </w:tc>
        <w:tc>
          <w:tcPr>
            <w:tcW w:type="dxa" w:w="1247"/>
          </w:tcPr>
          <w:p>
            <w:pPr>
              <w:pStyle w:val="Compact"/>
              <w:spacing w:line="240" w:lineRule="auto"/>
              <w:ind w:firstLine="0"/>
              <w:jc w:val="left"/>
            </w:pPr>
            <w:r>
              <w:rPr>
                <w:rFonts w:ascii="Times New Roman" w:hAnsi="Times New Roman" w:cs="Times New Roman" w:eastAsia="Times New Roman"/>
                <w:sz w:val="22"/>
              </w:rPr>
              <w:t xml:space="preserve">1,75–2,49</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Bir nechta blokda me’yorga yaqin yoki undan past qiymatlar</w:t>
            </w:r>
          </w:p>
        </w:tc>
        <w:tc>
          <w:tcPr>
            <w:tcW w:type="dxa" w:w="3628"/>
          </w:tcPr>
          <w:p>
            <w:pPr>
              <w:pStyle w:val="Compact"/>
              <w:spacing w:line="240" w:lineRule="auto"/>
              <w:ind w:firstLine="0"/>
              <w:jc w:val="left"/>
            </w:pPr>
            <w:r>
              <w:rPr>
                <w:rFonts w:ascii="Times New Roman" w:hAnsi="Times New Roman" w:cs="Times New Roman" w:eastAsia="Times New Roman"/>
                <w:sz w:val="22"/>
              </w:rPr>
              <w:t xml:space="preserve">Choraklik maqsadli tekshiruv, dividendlarni cheklash, kapitalni oshirish rejasi</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IV – nobarqaror</w:t>
            </w:r>
          </w:p>
        </w:tc>
        <w:tc>
          <w:tcPr>
            <w:tcW w:type="dxa" w:w="1247"/>
          </w:tcPr>
          <w:p>
            <w:pPr>
              <w:pStyle w:val="Compact"/>
              <w:spacing w:line="240" w:lineRule="auto"/>
              <w:ind w:firstLine="0"/>
              <w:jc w:val="left"/>
            </w:pPr>
            <w:r>
              <w:rPr>
                <w:rFonts w:ascii="Times New Roman" w:hAnsi="Times New Roman" w:cs="Times New Roman" w:eastAsia="Times New Roman"/>
                <w:sz w:val="22"/>
              </w:rPr>
              <w:t xml:space="preserve">1,00–1,74</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Ko‘pchilik bloklarda me’yorlar buzilgan</w:t>
            </w:r>
          </w:p>
        </w:tc>
        <w:tc>
          <w:tcPr>
            <w:tcW w:type="dxa" w:w="3628"/>
          </w:tcPr>
          <w:p>
            <w:pPr>
              <w:pStyle w:val="Compact"/>
              <w:spacing w:line="240" w:lineRule="auto"/>
              <w:ind w:firstLine="0"/>
              <w:jc w:val="left"/>
            </w:pPr>
            <w:r>
              <w:rPr>
                <w:rFonts w:ascii="Times New Roman" w:hAnsi="Times New Roman" w:cs="Times New Roman" w:eastAsia="Times New Roman"/>
                <w:sz w:val="22"/>
              </w:rPr>
              <w:t xml:space="preserve">Majburiy sog‘lomlashtirish choralari, faoliyatni cheklash</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sinflar shkalasi AQShdagi «tezkor tuzatish choralari» tizimi mantig‘iga asoslangan bo‘lib, unda har bir kapital darajasiga nazorat organining qat’iy belgilangan choralari mos keladi</w:t>
      </w:r>
      <w:r>
        <w:rPr>
          <w:rStyle w:val="FootnoteReference"/>
        </w:rPr>
        <w:footnoteReference w:id="52"/>
      </w:r>
      <w:r>
        <w:rPr>
          <w:rFonts w:ascii="Times New Roman" w:hAnsi="Times New Roman" w:cs="Times New Roman" w:eastAsia="Times New Roman"/>
          <w:sz w:val="28"/>
        </w:rPr>
        <w:t xml:space="preserve">. Shu bilan birga, sinflarning chegaralari integral indeks bo‘yicha belgilangan, ya’ni nazorat choralari faqat kapital emas, balki barcha bloklarning holatiga bog‘lanadi. 1.3-paragrafda ko‘rsatilganidek, baholash natijalarini nazorat choralari bilan bevosita bog‘lash xorijiy tajribaning eng samarali elementlaridan biri hisoblanadi.</w:t>
      </w:r>
    </w:p>
    <w:p>
      <w:pPr>
        <w:pStyle w:val="BodyText"/>
        <w:spacing w:line="360" w:lineRule="auto" w:before="0" w:after="0"/>
        <w:ind w:firstLine="709"/>
        <w:jc w:val="both"/>
      </w:pPr>
      <w:r>
        <w:rPr>
          <w:rFonts w:ascii="Times New Roman" w:hAnsi="Times New Roman" w:cs="Times New Roman" w:eastAsia="Times New Roman"/>
          <w:sz w:val="28"/>
        </w:rPr>
        <w:t xml:space="preserve">Taklif etilayotgan metodikaning amaliy qo‘llanilishini tekshirish uchun u ikkinchi bobda tahlil qilingan ikki bankning 2025-yil yakunidagi ma’lumotlariga qo‘llandi. Hisob-kitob ikki variantda – milliy hisobot va Markaziy bank metodikasi asosida hamda MHXS va Bazel III metodikasi asosida bajarildi (3.1.5-jadval).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3.1.5-jadval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«O‘zsanoatqurilishbank» ATB va «Mikrokreditbank» ATB ko‘rsatkichlari va ballari, 2025-yil yakuni</w:t>
      </w:r>
      <w:r>
        <w:rPr>
          <w:rStyle w:val="FootnoteReference"/>
        </w:rPr>
        <w:footnoteReference w:id="53"/>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175"/>
        <w:gridCol w:w="1530"/>
        <w:gridCol w:w="1530"/>
        <w:gridCol w:w="1530"/>
        <w:gridCol w:w="1530"/>
      </w:tblGrid>
      <w:tr>
        <w:trPr>
          <w:tblHeader w:val="true"/>
          <w:cantSplit/>
          <w:tblHeader/>
        </w:trPr>
        <w:tc>
          <w:tcPr>
            <w:tcW w:type="dxa" w:w="317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53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SQB: milliy</w:t>
            </w:r>
          </w:p>
        </w:tc>
        <w:tc>
          <w:tcPr>
            <w:tcW w:type="dxa" w:w="153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SQB: MHXS</w:t>
            </w:r>
          </w:p>
        </w:tc>
        <w:tc>
          <w:tcPr>
            <w:tcW w:type="dxa" w:w="153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MKB: milliy</w:t>
            </w:r>
          </w:p>
        </w:tc>
        <w:tc>
          <w:tcPr>
            <w:tcW w:type="dxa" w:w="153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MKB: MHXS</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K1. CET1 monandligi,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10,21 (3,88)</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8,87 (3,35)</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16,39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18,24 (4,00)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K2. Regulyativ kapital monandligi,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17,02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15,32 (3,93)</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18,46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19,96 (4,00)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K3. Leverage,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12,25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11,07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16,82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18,72 (4,00)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A1. Muammoli / 3-bosqich kreditlar,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2,53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7,48 (2,50)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4,41 (3,29)</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12,34 (1,53)</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A2. Substandart / 2-bosqich kreditlar,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18,44 (2,66)</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35,66 (1,00)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9,00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25,30 (1,97)</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A3. Qoplanmagan muammoli kreditlar / kapital,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−8,1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7,3 (3,27)</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10,3 (2,97)</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26,4 (1,36)</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L1. LCR,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222,9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154,0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231,9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231,9 (4,00)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L2. NSFR,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122,2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124,8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113,0 (3,30)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113,0 (3,30)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L3. Kreditlar / depozitlar,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206,5 (1,00)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221,0 (1,00)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208,5 (1,00)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324,4 (1,00)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D1. ROA,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1,98 (3,97)</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1,70 (3,50)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0,59 (1,84)</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0,15 (1,21)</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D2. ROE,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17,2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15,7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3,5 (1,70)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0,8 (1,16)</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D3. Xarajatlar / daromadlar,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36,5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41,9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65,5 (2,73)</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88,0 (1,60)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V1. Xorijiy valyutadagi kreditlar,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60,1 (1,33)</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60,1 (1,33)</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18,4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18,4 (4,00)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V2. Xorijiy valyutadagi majburiyatlar,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60,9 (1,61)</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60,9 (1,61)</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31,4 (3,57)</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31,4 (3,57)</w:t>
            </w:r>
          </w:p>
        </w:tc>
      </w:tr>
      <w:tr>
        <w:trPr>
          <w:cantSplit/>
        </w:trPr>
        <w:tc>
          <w:tcPr>
            <w:tcW w:type="dxa" w:w="3175"/>
          </w:tcPr>
          <w:p>
            <w:pPr>
              <w:pStyle w:val="Compact"/>
              <w:spacing w:line="240" w:lineRule="auto"/>
              <w:ind w:firstLine="0"/>
              <w:jc w:val="left"/>
            </w:pPr>
            <w:r>
              <w:rPr>
                <w:bCs/>
                <w:rFonts w:ascii="Times New Roman" w:hAnsi="Times New Roman" w:cs="Times New Roman" w:eastAsia="Times New Roman"/>
                <w:b/>
                <w:sz w:val="22"/>
              </w:rPr>
              <w:t xml:space="preserve">MBII</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3,40</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2,94</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3,27</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2,62</w:t>
            </w:r>
          </w:p>
        </w:tc>
      </w:tr>
      <w:tr>
        <w:trPr>
          <w:cantSplit/>
        </w:trPr>
        <w:tc>
          <w:tcPr>
            <w:tcW w:type="dxa" w:w="3175"/>
          </w:tcPr>
          <w:p>
            <w:pPr>
              <w:pStyle w:val="Compact"/>
              <w:spacing w:line="240" w:lineRule="auto"/>
              <w:ind w:firstLine="0"/>
              <w:jc w:val="left"/>
            </w:pPr>
            <w:r>
              <w:rPr>
                <w:bCs/>
                <w:rFonts w:ascii="Times New Roman" w:hAnsi="Times New Roman" w:cs="Times New Roman" w:eastAsia="Times New Roman"/>
                <w:b/>
                <w:sz w:val="22"/>
              </w:rPr>
              <w:t xml:space="preserve">Sinf</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I</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II</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I</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II</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qavs ichida – ball. MHXS variantida LCR banklardagi mablag‘lar yuqori likvid aktivlardan chiqarilgan holda (SQB), NSFR Bazel III metodikasi va MHXS tuzatishlari bilan hisoblandi; «Mikrokreditbank» ATB uchun likvidlik me’yorlarini qayta hisoblashga ma’lumot yetarli bo‘lmagani sababli rasmiy qiymatlar olindi; valyuta tarkibi ikki variantda bir xil qabul qilindi.</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metodikaning asosiy afzalligini yaqqol ko‘rsatadi. Milliy hisobot ma’lumotlari bo‘yicha ikkala bank ham I sinfga, ya’ni barqaror banklar qatoriga kiradi: «O‘zsanoatqurilishbank» ATB ning indeksi 3,40 ni, «Mikrokreditbank» ATB niki esa 3,27 ni tashkil etadi. MHXS va Bazel III asosida esa ikkala bank ham II sinfga tushadi: indeks mos ravishda 2,94 va 2,62 ga teng. Boshqacha aytganda, ΔMBII «O‘zsanoatqurilishbank» ATB uchun −0,46 ni, «Mikrokreditbank» ATB uchun esa −0,65 ni tashkil etadi va bu farq barqarorlik sinfini o‘zgartirish uchun yetarli. Indeksning pasayishiga qaysi bloklar sabab bo‘lganini aniqlash uchun bloklar ballari solishtirildi (3.1.3-rasm).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3" name="3.1.3-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3.1.3-rasm. «O‘zsanoatqurilishbank» ATB va «Mikrokreditbank» ATB da integral indeks bloklari ballari: milliy hisobot va MHXS, 2025-yil</w:t>
      </w:r>
      <w:r>
        <w:rPr>
          <w:rStyle w:val="FootnoteReference"/>
        </w:rPr>
        <w:footnoteReference w:id="54"/>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ikkala bankda ham indeks pasayishining asosiy sababi aktivlar sifati blokidir: «O‘zsanoatqurilishbank» ATB da bu blok bali 3,55 dan 2,26 ga, «Mikrokreditbank» ATB da esa 3,42 dan 1,62 ga tushgan. Aktivlar sifati blokining vazni 0,30 bo‘lgani sababli bu o‘zgarish indeksni mos ravishda 0,39 va 0,54 ballga pasaytiradi, ya’ni ΔMBII ning 83–84 foizi aynan shu blokka to‘g‘ri keladi. Bu natija 2.3-paragrafda aniqlangan qonuniyatni indeks darajasida tasdiqlaydi: milliy va MHXS hisobotlari o‘rtasidagi tafovut eng avvalo aktivlar sifati orqali barqarorlik bahosiga ta’sir qiladi. Ikkinchi o‘rinda daromadlilik bloki turadi: «Mikrokreditbank» ATB da uning bali 2,09 dan 1,33 ga pasaygan, chunki MHXS bo‘yicha bankning 2025-yildagi sof foydasi milliy hisobotdagidan qariyb to‘rt barobar kam. Kapital bloki esa «O‘zsanoatqurilishbank» ATB da biroz pasaygan, «Mikrokreditbank» ATB da esa maksimal darajada qolgan.</w:t>
      </w:r>
    </w:p>
    <w:p>
      <w:pPr>
        <w:pStyle w:val="BodyText"/>
        <w:spacing w:line="360" w:lineRule="auto" w:before="0" w:after="0"/>
        <w:ind w:firstLine="709"/>
        <w:jc w:val="both"/>
      </w:pPr>
      <w:r>
        <w:rPr>
          <w:rFonts w:ascii="Times New Roman" w:hAnsi="Times New Roman" w:cs="Times New Roman" w:eastAsia="Times New Roman"/>
          <w:sz w:val="28"/>
        </w:rPr>
        <w:t xml:space="preserve">Shu bilan birga, bloklar ballari ikki bankning risk profili tubdan farq qilishini ham ko‘rsatadi. «O‘zsanoatqurilishbank» ATB kapital, likvidlik va daromadlilik bo‘yicha yuqori ball olgan, ammo uning zaif bo‘g‘inlari – aktivlar sifati va valyuta riskiga sezgirlik: kreditlarning 60,1 foizi xorijiy valyutada berilgan. «Mikrokreditbank» ATB da esa kapital va valyuta bloklari kuchli, ammo aktivlar sifati va daromadlilik zaif. Ikkala bank uchun umumiy zaiflik – kreditlarning depozitlarga nisbati 200 foizdan yuqoriligi bo‘lib, bu ularning kreditlarni asosan tashqi qarz va davlat resurslari hisobiga moliyalashtirishini aks ettiradi. Integral indeks bunday turli profillarni yagona shkalada solishtirish imkonini beradi, bloklar ballari esa har bir bank uchun aniq nazorat yo‘nalishini ko‘rsatadi.</w:t>
      </w:r>
    </w:p>
    <w:p>
      <w:pPr>
        <w:pStyle w:val="BodyText"/>
        <w:spacing w:line="360" w:lineRule="auto" w:before="0" w:after="0"/>
        <w:ind w:firstLine="709"/>
        <w:jc w:val="both"/>
      </w:pPr>
      <w:r>
        <w:rPr>
          <w:rFonts w:ascii="Times New Roman" w:hAnsi="Times New Roman" w:cs="Times New Roman" w:eastAsia="Times New Roman"/>
          <w:sz w:val="28"/>
        </w:rPr>
        <w:t xml:space="preserve">Metodika natijalarining ishonchliligini tekshirish uchun indeks uch xil vaznlar tizimi bo‘yicha qayta hisoblandi: taklif etilayotgan vaznlar, teng vaznlar va O‘zbekistonda CAMEL tizimi uchun keltirilgan nisbat (3.1.4-rasm).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4" name="3.1.4-rasm"/>
            <wp:cNvGraphicFramePr/>
            <a:graphic>
              <a:graphicData uri="http://schemas.openxmlformats.org/drawingml/2006/chart">
                <c:chart r:id="rId1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3.1.4-rasm. Moliyaviy barqarorlikning integral indeksi qiymatlarining vaznlar tizimiga sezgirligi, 2025-yil</w:t>
      </w:r>
      <w:r>
        <w:rPr>
          <w:rStyle w:val="FootnoteReference"/>
        </w:rPr>
        <w:footnoteReference w:id="55"/>
      </w:r>
    </w:p>
    <w:p>
      <w:pPr>
        <w:pStyle w:val="BodyText"/>
        <w:spacing w:line="360" w:lineRule="auto" w:before="0" w:after="0"/>
        <w:ind w:firstLine="709"/>
        <w:jc w:val="both"/>
      </w:pPr>
      <w:r>
        <w:rPr>
          <w:rFonts w:ascii="Times New Roman" w:hAnsi="Times New Roman" w:cs="Times New Roman" w:eastAsia="Times New Roman"/>
          <w:sz w:val="28"/>
        </w:rPr>
        <w:t xml:space="preserve">Rasm ma’lumotlari muhim xulosaga olib keladi. MHXS asosidagi indeks bo‘yicha banklarning tartibi uchala vaznlar tizimida ham o‘zgarmaydi: «O‘zsanoatqurilishbank» ATB har doim «Mikrokreditbank» ATB dan yuqori, taklif etilgan va teng vaznlarda ikkala bank ham II sinfda qoladi, CAMEL nisbati qo‘llanganda esa «Mikrokreditbank» ATB daromadlilik blokining vazni kattaligi sababli III sinfga tushadi. Milliy hisobot asosidagi indeksda esa teng vaznlar qo‘llanganda banklar tartibi o‘zgaradi: «Mikrokreditbank» ATB ning indeksi 3,21 ni, «O‘zsanoatqurilishbank» ATB niki 3,19 ni tashkil etadi. Demak, MHXS asosidagi indeks vaznlar tanloviga kamroq sezgir, ya’ni barqarorroq natija beradi. Buning sababi shundaki, milliy ma’lumotlarda aktivlar sifati muammolari yashiringani uchun bloklar ballari bir-biriga yaqin bo‘lib qoladi va natija vaznlarga ko‘proq bog‘liq bo‘ladi, MHXS ma’lumotlarida esa bloklar o‘rtasidagi haqiqiy farqlar aniq namoyon bo‘ladi.</w:t>
      </w:r>
    </w:p>
    <w:p>
      <w:pPr>
        <w:pStyle w:val="BodyText"/>
        <w:spacing w:line="360" w:lineRule="auto" w:before="0" w:after="0"/>
        <w:ind w:firstLine="709"/>
        <w:jc w:val="both"/>
      </w:pPr>
      <w:r>
        <w:rPr>
          <w:rFonts w:ascii="Times New Roman" w:hAnsi="Times New Roman" w:cs="Times New Roman" w:eastAsia="Times New Roman"/>
          <w:sz w:val="28"/>
        </w:rPr>
        <w:t xml:space="preserve">Taklif etilayotgan metodikaning mavjud yondashuvlardan farqini aniqlash uchun u xalqaro va xorijiy amaliyotda keng qo‘llanadigan metodikalar bilan solishtirildi (3.1.6-jadval).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3.1.6-jadval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barqarorlikning integral indeksi va mavjud baholash metodikalarining qiyosiy tavsifi</w:t>
      </w:r>
      <w:r>
        <w:rPr>
          <w:rStyle w:val="FootnoteReference"/>
        </w:rPr>
        <w:footnoteReference w:id="56"/>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814"/>
        <w:gridCol w:w="1927"/>
        <w:gridCol w:w="1814"/>
        <w:gridCol w:w="2041"/>
      </w:tblGrid>
      <w:tr>
        <w:trPr>
          <w:tblHeader w:val="true"/>
          <w:cantSplit/>
          <w:tblHeader/>
        </w:trPr>
        <w:tc>
          <w:tcPr>
            <w:tcW w:type="dxa" w:w="170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Belgi</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CAMELS (AQSh)</w:t>
            </w:r>
          </w:p>
        </w:tc>
        <w:tc>
          <w:tcPr>
            <w:tcW w:type="dxa" w:w="192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Rossiya Banki metodikasi</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XVJ barqarorlik ko‘rsatkichlari</w:t>
            </w:r>
          </w:p>
        </w:tc>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Taklif etilayotgan MBII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Natija</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1–5 ballik kompozit reyting</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Bloklar bo‘yicha ball, guruhlarga ajratish</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Ko‘rsatkichlar to‘plami, yagona baho yo‘q</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1–4 oraliqdagi uzluksiz indeks va 4 sinf</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Ochiqlik</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Nazorat siri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Metodika ochiq, natija yopiq</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Ochiq</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Metodika va ma’lumotlar ochiq</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Xalqaro standartlarga bog‘liqlik</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Qisman</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Milliy normativlarga bog‘langan</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XVJ standarti</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Bazel III, MHXS 9, XVJ</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Nazoratchi bahosi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Milliy tasnif</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Milliy ta’rif</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MHXS 9 bosqichlari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Hisobot standarti farqi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Hisobga olinmaydi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Hisobga olinmaydi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Hisobga olinmaydi</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ΔMBII va tuzatish koeffitsiyentlari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Ball shkalasi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Pog‘onali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Pog‘onali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Uzluksiz (chiziqli interpolyatsiya)</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Valyuta riski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Bozor riski doirasida</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Alohida blok yo‘q</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Sof ochiq pozitsiya</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Alohida blok</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Nazorat choralari bilan bog‘liqlik</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Bevosita</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Bevosita</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Yo‘q</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Sinflar bo‘yicha choralar</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taklif etilayotgan metodika mavjud yondashuvlarning afzalliklarini birlashtiradi: CAMELS va Rossiya Banki metodikasidan blokli tuzilma va baholashni nazorat choralari bilan bog‘lash, Xalqaro valyuta jamg‘armasi ko‘rsatkichlaridan ochiqlik va xalqaro taqqoslanuvchanlik, Bazel III dan esa chegaraviy qiymatlar olingan. Shu bilan birga, uning uchta o‘ziga xos jihati mavjud: aktivlar sifatini MHXS 9 bosqichlari asosida baholash, milliy va MHXS hisobotlari o‘rtasidagi tafovutni ΔMBII orqali o‘lchash va ko‘rsatkichlarni uzluksiz shkalada ballash. Metodikaning cheklovlarini ham qayd etish lozim: chegaraviy qiymatlar va vaznlar qisman ekspert yo‘li bilan belgilangan, boshqaruv sifati bloki ochiq ma’lumotlar asosida baholanmaydi, likvidlik me’yorlarini Bazel III metodikasi bo‘yicha to‘liq qayta hisoblash esa banklarning batafsil hisobot shakllarini talab qiladi. Bu cheklovlar indeksning bashorat kuchini tekshirish orqali dissertatsiyaning to‘rtinchi bobida qisman bartaraf etiladi.</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barqarorlikni integral indeks asosida baholashning takomillashtirilgan metodikasini ishlab chiqish natijasida xulosa qilish mumkinki, taklif etilayotgan moliyaviy barqarorlikning integral indeksi kapital yetarliligi, aktivlar sifati, likvidlik, daromadlilik va valyuta riskiga sezgirlik bloklari bo‘yicha Bazel III, MHXS 9 va Xalqaro valyuta jamg‘armasi standartlariga bog‘langan 14 ta ko‘rsatkichni yagona bahoga keltiradi. Ko‘rsatkichlarning chegaraviy qiymatlari «me’yoriy talab – ball chegarasi» tamoyili asosida belgilanib, ular uzluksiz shkalada ballanadi, bloklar esa 0,25; 0,30; 0,20; 0,15 va 0,10 vaznlar bilan birlashtiriladi. Metodikani ikki bankka qo‘llash milliy hisobot asosida I sinfga kiradigan ikkala bank ham MHXS va Bazel III asosida II sinfga tushishini, ΔMBII ning 80 foizdan ortig‘i esa aktivlar sifati blokiga to‘g‘ri kelishini ko‘rsatdi. Sezgirlik tahlili esa MHXS asosidagi indeks vaznlar tanloviga kamroq bog‘liq ekanini tasdiqladi. Bu o‘z navbatida, metodikani bank tizimidagi barcha banklarga qo‘llash va ularni moliyaviy barqarorlik darajasi bo‘yicha reyting baholash imkonini beradi, bu esa keyingi paragrafda amalga oshiriladi.</w:t>
      </w:r>
    </w:p>
    <w:bookmarkEnd w:id="57"/>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47.</w:t>
      </w:r>
    </w:p>
  </w:footnote>
  <w:footnote w:id="21">
    <w:p>
      <w:pPr>
        <w:pStyle w:val="FootnoteText"/>
      </w:pPr>
      <w:r>
        <w:rPr>
          <w:rStyle w:val="FootnoteReference"/>
        </w:rPr>
        <w:footnoteRef/>
      </w:r>
      <w:r>
        <w:t xml:space="preserve"> </w:t>
      </w:r>
      <w:r>
        <w:t xml:space="preserve">Бердияров Б.Т. Ўзбекистон Республикаси тижорат банкларининг ликвидлилиги ва тўлов қобилиятини таъминлаш масалалари: монография. – Т.: BMA, 2020.</w:t>
      </w:r>
    </w:p>
  </w:footnote>
  <w:footnote w:id="22">
    <w:p>
      <w:pPr>
        <w:pStyle w:val="FootnoteText"/>
      </w:pPr>
      <w:r>
        <w:rPr>
          <w:rStyle w:val="FootnoteReference"/>
        </w:rPr>
        <w:footnoteRef/>
      </w:r>
      <w:r>
        <w:t xml:space="preserve"> </w:t>
      </w:r>
      <w:r>
        <w:t xml:space="preserve">Karaliyev T.M., Sayfiddinov I.F. Tijorat banklari faoliyatini tartibga solish va nazorati: darslik. – T.: Iqtisod-Moliya, 2019. – B. 195–213.</w:t>
      </w:r>
    </w:p>
  </w:footnote>
  <w:footnote w:id="23">
    <w:p>
      <w:pPr>
        <w:pStyle w:val="FootnoteText"/>
      </w:pPr>
      <w:r>
        <w:rPr>
          <w:rStyle w:val="FootnoteReference"/>
        </w:rPr>
        <w:footnoteRef/>
      </w:r>
      <w:r>
        <w:t xml:space="preserve"> </w:t>
      </w:r>
      <w:r>
        <w:t xml:space="preserve">Karaliyev T.M., Sayfiddinov I.F. Tijorat banklari faoliyatini tartibga solish va nazorati: darslik. – T.: Iqtisod-Moliya, 2019. – B. 213.</w:t>
      </w:r>
    </w:p>
  </w:footnote>
  <w:footnote w:id="24">
    <w:p>
      <w:pPr>
        <w:pStyle w:val="FootnoteText"/>
      </w:pPr>
      <w:r>
        <w:rPr>
          <w:rStyle w:val="FootnoteReference"/>
        </w:rPr>
        <w:footnoteRef/>
      </w:r>
      <w:r>
        <w:t xml:space="preserve"> </w:t>
      </w:r>
      <w:r>
        <w:t xml:space="preserve">Tadqiqot natijasida muallif tomonidan dissertatsiyaning 2.1–2.3-paragraflari natijalari asosida ishlab chiqildi.</w:t>
      </w:r>
    </w:p>
  </w:footnote>
  <w:footnote w:id="25">
    <w:p>
      <w:pPr>
        <w:pStyle w:val="FootnoteText"/>
      </w:pPr>
      <w:r>
        <w:rPr>
          <w:rStyle w:val="FootnoteReference"/>
        </w:rPr>
        <w:footnoteRef/>
      </w:r>
      <w:r>
        <w:t xml:space="preserve"> </w:t>
      </w:r>
      <w:r>
        <w:t xml:space="preserve">Tadqiqot natijasida muallif tomonidan ishlab chiqildi.</w:t>
      </w:r>
    </w:p>
  </w:footnote>
  <w:footnote w:id="26">
    <w:p>
      <w:pPr>
        <w:pStyle w:val="FootnoteText"/>
      </w:pPr>
      <w:r>
        <w:rPr>
          <w:rStyle w:val="FootnoteReference"/>
        </w:rPr>
        <w:footnoteRef/>
      </w:r>
      <w:r>
        <w:t xml:space="preserve"> </w:t>
      </w:r>
      <w:r>
        <w:t xml:space="preserve">International Monetary Fund. 2019 Financial Soundness Indicators Compilation Guide. – Washington, DC: IMF, 2019.</w:t>
      </w:r>
    </w:p>
  </w:footnote>
  <w:footnote w:id="27">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91.</w:t>
      </w:r>
    </w:p>
  </w:footnote>
  <w:footnote w:id="28">
    <w:p>
      <w:pPr>
        <w:pStyle w:val="FootnoteText"/>
      </w:pPr>
      <w:r>
        <w:rPr>
          <w:rStyle w:val="FootnoteReference"/>
        </w:rPr>
        <w:footnoteRef/>
      </w:r>
      <w:r>
        <w:t xml:space="preserve"> </w:t>
      </w:r>
      <w:r>
        <w:t xml:space="preserve">Tadqiqot natijasida muallif tomonidan quyidagi manbalar asosida ishlab chiqildi: Basel Committee on Banking Supervision. Basel III: A global regulatory framework for more resilient banks and banking systems. – Basel: Bank for International Settlements, December 2010 (rev. June 2011); Basel Committee on Banking Supervision. A framework for dealing with domestic systemically important banks. – Basel: Bank for International Settlements, October 2012; Basel Committee on Banking Supervision. Basel III: The Liquidity Coverage Ratio and liquidity risk monitoring tools. – Basel: BIS, January 2013; Basel Committee on Banking Supervision. Basel III: The Net Stable Funding Ratio. – Basel: BIS, October 2014; IFRS 9 Financial Instruments. – London: International Accounting Standards Board, 2014; International Monetary Fund. 2019 Financial Soundness Indicators Compilation Guide. – Washington, DC: IMF, 2019; Banklar kapitalining monandligiga qo‘yiladigan talablar to‘g‘risidagi nizom (O‘zbekiston Respublikasi Markaziy banki Boshqaruvining 02.10.2025 dagi 21/6-son qarori, ro‘yxat raqami 3697, 28.10.2025) // https://lex.uz/docs/7793613;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Оценка финансовой устойчивости кредитной организации: учебник / под ред. О.И. Лаврушина, И.Д. Мамоновой. – М.: КНОРУС, 2011. – С. 135, 145–147; Устойчивость банковской системы и развитие банковской политики: монография / под ред. О.И. Лаврушина. – М.: КНОРУС, 2014. – С. 52–53; Tarullo D.K. Banking on Basel: The Future of International Financial Regulation. – Washington, DC: Peterson Institute for International Economics, 2008. – P. 228–230.</w:t>
      </w:r>
    </w:p>
  </w:footnote>
  <w:footnote w:id="29">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135.</w:t>
      </w:r>
    </w:p>
  </w:footnote>
  <w:footnote w:id="30">
    <w:p>
      <w:pPr>
        <w:pStyle w:val="FootnoteText"/>
      </w:pPr>
      <w:r>
        <w:rPr>
          <w:rStyle w:val="FootnoteReference"/>
        </w:rPr>
        <w:footnoteRef/>
      </w:r>
      <w:r>
        <w:t xml:space="preserve"> </w:t>
      </w:r>
      <w:r>
        <w:t xml:space="preserve">Banklar kapitalining monandligiga qo‘yiladigan talablar to‘g‘risidagi nizom (O‘zbekiston Respublikasi Markaziy banki Boshqaruvining 02.10.2025 dagi 21/6-son qarori, ro‘yxat raqami 3697, 28.10.2025) // https://lex.uz/docs/7793613</w:t>
      </w:r>
    </w:p>
  </w:footnote>
  <w:footnote w:id="31">
    <w:p>
      <w:pPr>
        <w:pStyle w:val="FootnoteText"/>
      </w:pPr>
      <w:r>
        <w:rPr>
          <w:rStyle w:val="FootnoteReference"/>
        </w:rPr>
        <w:footnoteRef/>
      </w:r>
      <w:r>
        <w:t xml:space="preserve"> </w:t>
      </w:r>
      <w:r>
        <w:t xml:space="preserve">Basel Committee on Banking Supervision. Basel III: A global regulatory framework for more resilient banks and banking systems. – Basel: Bank for International Settlements, December 2010 (rev. June 2011).</w:t>
      </w:r>
    </w:p>
  </w:footnote>
  <w:footnote w:id="32">
    <w:p>
      <w:pPr>
        <w:pStyle w:val="FootnoteText"/>
      </w:pPr>
      <w:r>
        <w:rPr>
          <w:rStyle w:val="FootnoteReference"/>
        </w:rPr>
        <w:footnoteRef/>
      </w:r>
      <w:r>
        <w:t xml:space="preserve"> </w:t>
      </w:r>
      <w:r>
        <w:t xml:space="preserve">Basel Committee on Banking Supervision. A framework for dealing with domestic systemically important banks. – Basel: Bank for International Settlements, October 2012.</w:t>
      </w:r>
    </w:p>
  </w:footnote>
  <w:footnote w:id="33">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228–230.</w:t>
      </w:r>
    </w:p>
  </w:footnote>
  <w:footnote w:id="34">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45.</w:t>
      </w:r>
    </w:p>
  </w:footnote>
  <w:footnote w:id="35">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52–53.</w:t>
      </w:r>
    </w:p>
  </w:footnote>
  <w:footnote w:id="36">
    <w:p>
      <w:pPr>
        <w:pStyle w:val="FootnoteText"/>
      </w:pPr>
      <w:r>
        <w:rPr>
          <w:rStyle w:val="FootnoteReference"/>
        </w:rPr>
        <w:footnoteRef/>
      </w:r>
      <w:r>
        <w:t xml:space="preserve"> </w:t>
      </w:r>
      <w:r>
        <w:t xml:space="preserve">International Monetary Fund. 2019 Financial Soundness Indicators Compilation Guide. – Washington, DC: IMF, 2019.</w:t>
      </w:r>
    </w:p>
  </w:footnote>
  <w:footnote w:id="37">
    <w:p>
      <w:pPr>
        <w:pStyle w:val="FootnoteText"/>
      </w:pPr>
      <w:r>
        <w:rPr>
          <w:rStyle w:val="FootnoteReference"/>
        </w:rPr>
        <w:footnoteRef/>
      </w:r>
      <w:r>
        <w:t xml:space="preserve"> </w:t>
      </w:r>
      <w:r>
        <w:t xml:space="preserve">Basel Committee on Banking Supervision. Basel III: The Liquidity Coverage Ratio and liquidity risk monitoring tools. – Basel: BIS, January 2013.</w:t>
      </w:r>
    </w:p>
  </w:footnote>
  <w:footnote w:id="38">
    <w:p>
      <w:pPr>
        <w:pStyle w:val="FootnoteText"/>
      </w:pPr>
      <w:r>
        <w:rPr>
          <w:rStyle w:val="FootnoteReference"/>
        </w:rPr>
        <w:footnoteRef/>
      </w:r>
      <w:r>
        <w:t xml:space="preserve"> </w:t>
      </w:r>
      <w:r>
        <w:t xml:space="preserve">Basel Committee on Banking Supervision. Basel III: The Net Stable Funding Ratio. – Basel: BIS, October 2014.</w:t>
      </w:r>
    </w:p>
  </w:footnote>
  <w:footnote w:id="39">
    <w:p>
      <w:pPr>
        <w:pStyle w:val="FootnoteText"/>
      </w:pPr>
      <w:r>
        <w:rPr>
          <w:rStyle w:val="FootnoteReference"/>
        </w:rPr>
        <w:footnoteRef/>
      </w:r>
      <w:r>
        <w:t xml:space="preserve"> </w:t>
      </w:r>
      <w:r>
        <w:t xml:space="preserve">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40">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52–53.</w:t>
      </w:r>
    </w:p>
  </w:footnote>
  <w:footnote w:id="41">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145–147.</w:t>
      </w:r>
    </w:p>
  </w:footnote>
  <w:footnote w:id="42">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145–147.</w:t>
      </w:r>
    </w:p>
  </w:footnote>
  <w:footnote w:id="43">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 – P. 85.</w:t>
      </w:r>
    </w:p>
  </w:footnote>
  <w:footnote w:id="44">
    <w:p>
      <w:pPr>
        <w:pStyle w:val="FootnoteText"/>
      </w:pPr>
      <w:r>
        <w:rPr>
          <w:rStyle w:val="FootnoteReference"/>
        </w:rPr>
        <w:footnoteRef/>
      </w:r>
      <w:r>
        <w:t xml:space="preserve"> </w:t>
      </w:r>
      <w:r>
        <w:t xml:space="preserve">Tadqiqot natijasida muallif tomonidan 3.1.2-jadval asosida ishlab chiqildi.</w:t>
      </w:r>
    </w:p>
  </w:footnote>
  <w:footnote w:id="45">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89–91.</w:t>
      </w:r>
    </w:p>
  </w:footnote>
  <w:footnote w:id="46">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68.</w:t>
      </w:r>
    </w:p>
  </w:footnote>
  <w:footnote w:id="47">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51.</w:t>
      </w:r>
    </w:p>
  </w:footnote>
  <w:footnote w:id="48">
    <w:p>
      <w:pPr>
        <w:pStyle w:val="FootnoteText"/>
      </w:pPr>
      <w:r>
        <w:rPr>
          <w:rStyle w:val="FootnoteReference"/>
        </w:rPr>
        <w:footnoteRef/>
      </w:r>
      <w:r>
        <w:t xml:space="preserve"> </w:t>
      </w:r>
      <w:r>
        <w:t xml:space="preserve">Tadqiqot natijasida muallif tomonidan quyidagi manbalar asosida ishlab chiqildi: Karaliyev T.M., Sayfiddinov I.F. Tijorat banklari faoliyatini tartibga solish va nazorati: darslik. – T.: Iqtisod-Moliya, 2019. – B. 213; Оценка финансовой устойчивости кредитной организации: учебник / под ред. О.И. Лаврушина, И.Д. Мамоновой. – М.: КНОРУС, 2011. – С. 68; Izzi L., Oricchio G., Vitale L. Basel III Credit Rating Systems: An Applied Guide to Quantitative and Qualitative Models. – Basingstoke: Palgrave Macmillan, 2012. – P. 76, 85.</w:t>
      </w:r>
    </w:p>
  </w:footnote>
  <w:footnote w:id="49">
    <w:p>
      <w:pPr>
        <w:pStyle w:val="FootnoteText"/>
      </w:pPr>
      <w:r>
        <w:rPr>
          <w:rStyle w:val="FootnoteReference"/>
        </w:rPr>
        <w:footnoteRef/>
      </w:r>
      <w:r>
        <w:t xml:space="preserve"> </w:t>
      </w:r>
      <w:r>
        <w:t xml:space="preserve">Karaliyev T.M., Sayfiddinov I.F. Tijorat banklari faoliyatini tartibga solish va nazorati: darslik. – T.: Iqtisod-Moliya, 2019. – B. 213.</w:t>
      </w:r>
    </w:p>
  </w:footnote>
  <w:footnote w:id="50">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 – P. 76.</w:t>
      </w:r>
    </w:p>
  </w:footnote>
  <w:footnote w:id="51">
    <w:p>
      <w:pPr>
        <w:pStyle w:val="FootnoteText"/>
      </w:pPr>
      <w:r>
        <w:rPr>
          <w:rStyle w:val="FootnoteReference"/>
        </w:rPr>
        <w:footnoteRef/>
      </w:r>
      <w:r>
        <w:t xml:space="preserve"> </w:t>
      </w:r>
      <w:r>
        <w:t xml:space="preserve">Tadqiqot natijasida muallif tomonidan quyidagi manbalar asosida ishlab chiqildi: Cargill T.F. The Financial System, Financial Regulation and Central Bank Policy. – Cambridge: Cambridge University Press, 2017. – P. 193; Оценка финансовой устойчивости кредитной организации: учебник / под ред. О.И. Лаврушина, И.Д. Мамоновой. – М.: КНОРУС, 2011. – С. 91–92.</w:t>
      </w:r>
    </w:p>
  </w:footnote>
  <w:footnote w:id="52">
    <w:p>
      <w:pPr>
        <w:pStyle w:val="FootnoteText"/>
      </w:pPr>
      <w:r>
        <w:rPr>
          <w:rStyle w:val="FootnoteReference"/>
        </w:rPr>
        <w:footnoteRef/>
      </w:r>
      <w:r>
        <w:t xml:space="preserve"> </w:t>
      </w:r>
      <w:r>
        <w:t xml:space="preserve">Cargill T.F. The Financial System, Financial Regulation and Central Bank Policy. – Cambridge: Cambridge University Press, 2017. – P. 193.</w:t>
      </w:r>
    </w:p>
  </w:footnote>
  <w:footnote w:id="53">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2–3, 28–31, 37–38,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48.</w:t>
      </w:r>
    </w:p>
  </w:footnote>
  <w:footnote w:id="54">
    <w:p>
      <w:pPr>
        <w:pStyle w:val="FootnoteText"/>
      </w:pPr>
      <w:r>
        <w:rPr>
          <w:rStyle w:val="FootnoteReference"/>
        </w:rPr>
        <w:footnoteRef/>
      </w:r>
      <w:r>
        <w:t xml:space="preserve"> </w:t>
      </w:r>
      <w:r>
        <w:t xml:space="preserve">Tadqiqot natijasida muallif tomonidan 3.1.5-jadval ma’lumotlari asosida ishlab chiqildi.</w:t>
      </w:r>
    </w:p>
  </w:footnote>
  <w:footnote w:id="55">
    <w:p>
      <w:pPr>
        <w:pStyle w:val="FootnoteText"/>
      </w:pPr>
      <w:r>
        <w:rPr>
          <w:rStyle w:val="FootnoteReference"/>
        </w:rPr>
        <w:footnoteRef/>
      </w:r>
      <w:r>
        <w:t xml:space="preserve"> </w:t>
      </w:r>
      <w:r>
        <w:t xml:space="preserve">Tadqiqot natijasida muallif tomonidan 3.1.3 va 3.1.5-jadvallar ma’lumotlari asosida hisoblandi.</w:t>
      </w:r>
    </w:p>
  </w:footnote>
  <w:footnote w:id="56">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91–92, 135–154; Cargill T.F. The Financial System, Financial Regulation and Central Bank Policy. – Cambridge: Cambridge University Press, 2017. – P. 193; International Monetary Fund. 2019 Financial Soundness Indicators Compilation Guide. – Washington, DC: IMF, 2019; Karaliyev T.M., Sayfiddinov I.F. Tijorat banklari faoliyatini tartibga solish va nazorati: darslik. – T.: Iqtisod-Moliya, 2019. – B. 208–213.</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Uzluksiz shkala (taklif)</c:v>
                </c:pt>
              </c:strCache>
            </c:strRef>
          </c:tx>
          <c:spPr>
            <a:ln w="28575">
              <a:solidFill>
                <a:srgbClr val="2A78D6"/>
              </a:solidFill>
            </a:ln>
          </c:spPr>
          <c:marker>
            <c:symbol val="circle"/>
            <c:size val="7"/>
            <c:spPr>
              <a:solidFill>
                <a:srgbClr val="2A78D6"/>
              </a:solidFill>
              <a:ln>
                <a:noFill/>
              </a:ln>
            </c:spPr>
          </c:marker>
          <c:xVal>
            <c:numRef>
              <c:f>Sheet1!$A$2:$A$9</c:f>
              <c:numCache>
                <c:formatCode>General</c:formatCode>
                <c:ptCount val="8"/>
                <c:pt idx="0">
                  <c:v>3</c:v>
                </c:pt>
                <c:pt idx="1">
                  <c:v>4.5</c:v>
                </c:pt>
                <c:pt idx="2">
                  <c:v>5.75</c:v>
                </c:pt>
                <c:pt idx="3">
                  <c:v>7</c:v>
                </c:pt>
                <c:pt idx="4">
                  <c:v>8</c:v>
                </c:pt>
                <c:pt idx="5">
                  <c:v>9.25</c:v>
                </c:pt>
                <c:pt idx="6">
                  <c:v>10.5</c:v>
                </c:pt>
                <c:pt idx="7">
                  <c:v>13</c:v>
                </c:pt>
              </c:numCache>
            </c:numRef>
          </c:xVal>
          <c:yVal>
            <c:numRef>
              <c:f>Sheet1!$B$2:$B$9</c:f>
              <c:numCache>
                <c:formatCode>General</c:formatCode>
                <c:ptCount val="8"/>
                <c:pt idx="0">
                  <c:v>1</c:v>
                </c:pt>
                <c:pt idx="1">
                  <c:v>1</c:v>
                </c:pt>
                <c:pt idx="2">
                  <c:v>1.5</c:v>
                </c:pt>
                <c:pt idx="3">
                  <c:v>2</c:v>
                </c:pt>
                <c:pt idx="4">
                  <c:v>3</c:v>
                </c:pt>
                <c:pt idx="5">
                  <c:v>3.5</c:v>
                </c:pt>
                <c:pt idx="6">
                  <c:v>4</c:v>
                </c:pt>
                <c:pt idx="7">
                  <c:v>4</c:v>
                </c:pt>
              </c:numCache>
            </c:numRef>
          </c:yVal>
          <c:smooth val="0"/>
        </c:ser>
        <c:ser>
          <c:idx val="1"/>
          <c:order val="1"/>
          <c:tx>
            <c:strRef>
              <c:f>Sheet1!$D$1</c:f>
              <c:strCache>
                <c:ptCount val="1"/>
                <c:pt idx="0">
                  <c:v>Pog‘onali shkala</c:v>
                </c:pt>
              </c:strCache>
            </c:strRef>
          </c:tx>
          <c:spPr>
            <a:ln w="19050">
              <a:solidFill>
                <a:srgbClr val="EB6834"/>
              </a:solidFill>
              <a:prstDash val="dash"/>
            </a:ln>
          </c:spPr>
          <c:marker>
            <c:symbol val="none"/>
          </c:marker>
          <c:xVal>
            <c:numRef>
              <c:f>Sheet1!$C$2:$C$9</c:f>
              <c:numCache>
                <c:formatCode>General</c:formatCode>
                <c:ptCount val="8"/>
                <c:pt idx="0">
                  <c:v>3</c:v>
                </c:pt>
                <c:pt idx="1">
                  <c:v>7</c:v>
                </c:pt>
                <c:pt idx="2">
                  <c:v>7</c:v>
                </c:pt>
                <c:pt idx="3">
                  <c:v>8</c:v>
                </c:pt>
                <c:pt idx="4">
                  <c:v>8</c:v>
                </c:pt>
                <c:pt idx="5">
                  <c:v>10.5</c:v>
                </c:pt>
                <c:pt idx="6">
                  <c:v>10.5</c:v>
                </c:pt>
                <c:pt idx="7">
                  <c:v>13</c:v>
                </c:pt>
              </c:numCache>
            </c:numRef>
          </c:xVal>
          <c:yVal>
            <c:numRef>
              <c:f>Sheet1!$D$2:$D$9</c:f>
              <c:numCache>
                <c:formatCode>General</c:formatCode>
                <c:ptCount val="8"/>
                <c:pt idx="0">
                  <c:v>1</c:v>
                </c:pt>
                <c:pt idx="1">
                  <c:v>1</c:v>
                </c:pt>
                <c:pt idx="2">
                  <c:v>2</c:v>
                </c:pt>
                <c:pt idx="3">
                  <c:v>2</c:v>
                </c:pt>
                <c:pt idx="4">
                  <c:v>3</c:v>
                </c:pt>
                <c:pt idx="5">
                  <c:v>3</c:v>
                </c:pt>
                <c:pt idx="6">
                  <c:v>4</c:v>
                </c:pt>
                <c:pt idx="7">
                  <c:v>4</c:v>
                </c:pt>
              </c:numCache>
            </c:numRef>
          </c:yVal>
          <c:smooth val="0"/>
        </c:ser>
        <c:axId val="333"/>
        <c:axId val="444"/>
      </c:scatterChart>
      <c:valAx>
        <c:axId val="333"/>
        <c:scaling>
          <c:orientation val="minMax"/>
          <c:max val="13"/>
          <c:min val="3"/>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Birinchi darajali asosiy kapital monandligi, %</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5"/>
          <c:min val="0.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«O‘zsanoatqurilishbank»: milliy</c:v>
                </c:pt>
              </c:strCache>
            </c:strRef>
          </c:tx>
          <c:spPr>
            <a:solidFill>
              <a:srgbClr val="9DC3E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Sheet1!$B$2:$B$6</c:f>
              <c:numCache>
                <c:formatCode>General</c:formatCode>
                <c:ptCount val="5"/>
                <c:pt idx="0">
                  <c:v>3.96</c:v>
                </c:pt>
                <c:pt idx="1">
                  <c:v>3.55</c:v>
                </c:pt>
                <c:pt idx="2">
                  <c:v>3.0</c:v>
                </c:pt>
                <c:pt idx="3">
                  <c:v>3.99</c:v>
                </c:pt>
                <c:pt idx="4">
                  <c:v>1.47</c:v>
                </c:pt>
              </c:numCache>
            </c:numRef>
          </c:val>
        </c:ser>
        <c:ser>
          <c:idx val="1"/>
          <c:order val="1"/>
          <c:tx>
            <c:strRef>
              <c:f>Sheet1!$C$1</c:f>
              <c:strCache>
                <c:ptCount val="1"/>
                <c:pt idx="0">
                  <c:v>«O‘zsanoatqurilishbank»: MHXS</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Sheet1!$C$2:$C$6</c:f>
              <c:numCache>
                <c:formatCode>General</c:formatCode>
                <c:ptCount val="5"/>
                <c:pt idx="0">
                  <c:v>3.76</c:v>
                </c:pt>
                <c:pt idx="1">
                  <c:v>2.26</c:v>
                </c:pt>
                <c:pt idx="2">
                  <c:v>3.0</c:v>
                </c:pt>
                <c:pt idx="3">
                  <c:v>3.83</c:v>
                </c:pt>
                <c:pt idx="4">
                  <c:v>1.47</c:v>
                </c:pt>
              </c:numCache>
            </c:numRef>
          </c:val>
        </c:ser>
        <c:ser>
          <c:idx val="2"/>
          <c:order val="2"/>
          <c:tx>
            <c:strRef>
              <c:f>Sheet1!$D$1</c:f>
              <c:strCache>
                <c:ptCount val="1"/>
                <c:pt idx="0">
                  <c:v>«Mikrokreditbank»: milliy</c:v>
                </c:pt>
              </c:strCache>
            </c:strRef>
          </c:tx>
          <c:spPr>
            <a:solidFill>
              <a:srgbClr val="A9D18E"/>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Sheet1!$D$2:$D$6</c:f>
              <c:numCache>
                <c:formatCode>General</c:formatCode>
                <c:ptCount val="5"/>
                <c:pt idx="0">
                  <c:v>4.0</c:v>
                </c:pt>
                <c:pt idx="1">
                  <c:v>3.42</c:v>
                </c:pt>
                <c:pt idx="2">
                  <c:v>2.77</c:v>
                </c:pt>
                <c:pt idx="3">
                  <c:v>2.09</c:v>
                </c:pt>
                <c:pt idx="4">
                  <c:v>3.79</c:v>
                </c:pt>
              </c:numCache>
            </c:numRef>
          </c:val>
        </c:ser>
        <c:ser>
          <c:idx val="3"/>
          <c:order val="3"/>
          <c:tx>
            <c:strRef>
              <c:f>Sheet1!$E$1</c:f>
              <c:strCache>
                <c:ptCount val="1"/>
                <c:pt idx="0">
                  <c:v>«Mikrokreditbank»: MHXS</c:v>
                </c:pt>
              </c:strCache>
            </c:strRef>
          </c:tx>
          <c:spPr>
            <a:solidFill>
              <a:srgbClr val="38761D"/>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Sheet1!$E$2:$E$6</c:f>
              <c:numCache>
                <c:formatCode>General</c:formatCode>
                <c:ptCount val="5"/>
                <c:pt idx="0">
                  <c:v>4.0</c:v>
                </c:pt>
                <c:pt idx="1">
                  <c:v>1.62</c:v>
                </c:pt>
                <c:pt idx="2">
                  <c:v>2.77</c:v>
                </c:pt>
                <c:pt idx="3">
                  <c:v>1.33</c:v>
                </c:pt>
                <c:pt idx="4">
                  <c:v>3.79</c:v>
                </c:pt>
              </c:numCache>
            </c:numRef>
          </c:val>
        </c:ser>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Taklif etilgan vaznlar</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SQB: milliy</c:v>
                </c:pt>
                <c:pt idx="1">
                  <c:v>SQB: MHXS</c:v>
                </c:pt>
                <c:pt idx="2">
                  <c:v>MKB: milliy</c:v>
                </c:pt>
                <c:pt idx="3">
                  <c:v>MKB: MHXS</c:v>
                </c:pt>
              </c:strCache>
            </c:strRef>
          </c:cat>
          <c:val>
            <c:numRef>
              <c:f>Sheet1!$B$2:$B$5</c:f>
              <c:numCache>
                <c:formatCode>General</c:formatCode>
                <c:ptCount val="4"/>
                <c:pt idx="0">
                  <c:v>3.4</c:v>
                </c:pt>
                <c:pt idx="1">
                  <c:v>2.94</c:v>
                </c:pt>
                <c:pt idx="2">
                  <c:v>3.27</c:v>
                </c:pt>
                <c:pt idx="3">
                  <c:v>2.62</c:v>
                </c:pt>
              </c:numCache>
            </c:numRef>
          </c:val>
        </c:ser>
        <c:ser>
          <c:idx val="1"/>
          <c:order val="1"/>
          <c:tx>
            <c:strRef>
              <c:f>Sheet1!$C$1</c:f>
              <c:strCache>
                <c:ptCount val="1"/>
                <c:pt idx="0">
                  <c:v>Teng vaznlar</c:v>
                </c:pt>
              </c:strCache>
            </c:strRef>
          </c:tx>
          <c:spPr>
            <a:solidFill>
              <a:srgbClr val="A5A5A5"/>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SQB: milliy</c:v>
                </c:pt>
                <c:pt idx="1">
                  <c:v>SQB: MHXS</c:v>
                </c:pt>
                <c:pt idx="2">
                  <c:v>MKB: milliy</c:v>
                </c:pt>
                <c:pt idx="3">
                  <c:v>MKB: MHXS</c:v>
                </c:pt>
              </c:strCache>
            </c:strRef>
          </c:cat>
          <c:val>
            <c:numRef>
              <c:f>Sheet1!$C$2:$C$5</c:f>
              <c:numCache>
                <c:formatCode>General</c:formatCode>
                <c:ptCount val="4"/>
                <c:pt idx="0">
                  <c:v>3.19</c:v>
                </c:pt>
                <c:pt idx="1">
                  <c:v>2.86</c:v>
                </c:pt>
                <c:pt idx="2">
                  <c:v>3.21</c:v>
                </c:pt>
                <c:pt idx="3">
                  <c:v>2.7</c:v>
                </c:pt>
              </c:numCache>
            </c:numRef>
          </c:val>
        </c:ser>
        <c:ser>
          <c:idx val="2"/>
          <c:order val="2"/>
          <c:tx>
            <c:strRef>
              <c:f>Sheet1!$D$1</c:f>
              <c:strCache>
                <c:ptCount val="1"/>
                <c:pt idx="0">
                  <c:v>CAMEL nisbati</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SQB: milliy</c:v>
                </c:pt>
                <c:pt idx="1">
                  <c:v>SQB: MHXS</c:v>
                </c:pt>
                <c:pt idx="2">
                  <c:v>MKB: milliy</c:v>
                </c:pt>
                <c:pt idx="3">
                  <c:v>MKB: MHXS</c:v>
                </c:pt>
              </c:strCache>
            </c:strRef>
          </c:cat>
          <c:val>
            <c:numRef>
              <c:f>Sheet1!$D$2:$D$5</c:f>
              <c:numCache>
                <c:formatCode>General</c:formatCode>
                <c:ptCount val="4"/>
                <c:pt idx="0">
                  <c:v>3.67</c:v>
                </c:pt>
                <c:pt idx="1">
                  <c:v>3.11</c:v>
                </c:pt>
                <c:pt idx="2">
                  <c:v>3.12</c:v>
                </c:pt>
                <c:pt idx="3">
                  <c:v>2.27</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2026-10-11T09:33:55Z</dcterms:created>
  <dcterms:modified xsi:type="dcterms:W3CDTF">2026-10-11T09:33:55Z</dcterms:modified>
</cp:coreProperties>
</file>

<file path=docProps/custom.xml><?xml version="1.0" encoding="utf-8"?>
<Properties xmlns="http://schemas.openxmlformats.org/officeDocument/2006/custom-properties" xmlns:vt="http://schemas.openxmlformats.org/officeDocument/2006/docPropsVTypes"/>
</file>