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 w:before="0" w:after="0"/>
        <w:ind w:firstLine="0"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940000" cy="3960000"/>
            <wp:effectExtent l="0" t="0" r="0" b="0"/>
            <wp:docPr id="1001" name="2.2.7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2.2.7-rasm. «O‘zsanoatqurilishbank» ATB, «Mikrokreditbank» ATB va «Aloqabank» ATB da MHXS 9 bo‘yicha 3-bosqich kreditlari va rasmiy muammoli kreditlar ulushi, %</w:t>
      </w:r>
    </w:p>
    <w:p>
      <w:r>
        <w:rPr>
          <w:rFonts w:ascii="Times New Roman" w:hAnsi="Times New Roman"/>
          <w:i/>
          <w:sz w:val="22"/>
        </w:rPr>
        <w:t>Namuna (ko‘rish uchun): chiziqli diagramma va ostida ma’lumotlar jadvali; uzuq chiziq – rasmiy muammoli kreditlar, to‘liq chiziq – MHXS 9 bo‘yicha 3-bosqich kreditlari. Aloqabank ma’lumotlari: muallif hisob-kitobi (prudensial shakllar va MHXS hisobotlari).</w:t>
      </w:r>
    </w:p>
    <w:sectPr w:rsidR="00FC693F" w:rsidRPr="0006063C" w:rsidSect="00034616">
      <w:pgSz w:w="11906" w:h="16838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>
        <c:manualLayout>
          <c:layoutTarget val="inner"/>
          <c:xMode val="edge"/>
          <c:yMode val="edge"/>
          <c:x val="0.3"/>
          <c:y val="0.03"/>
          <c:w val="0.68"/>
          <c:h val="0.5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SQB: rasmiy muammoli</c:v>
                </c:pt>
              </c:strCache>
            </c:strRef>
          </c:tx>
          <c:spPr>
            <a:ln w="28575">
              <a:solidFill>
                <a:srgbClr val="5B9BD5"/>
              </a:solidFill>
              <a:prstDash val="dash"/>
            </a:ln>
          </c:spPr>
          <c:marker>
            <c:symbol val="circle"/>
            <c:size val="5"/>
            <c:spPr>
              <a:solidFill>
                <a:srgbClr val="5B9BD5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3.8</c:v>
                </c:pt>
                <c:pt idx="1">
                  <c:v>2.8</c:v>
                </c:pt>
                <c:pt idx="2">
                  <c:v>2.2</c:v>
                </c:pt>
                <c:pt idx="3">
                  <c:v>2.8</c:v>
                </c:pt>
                <c:pt idx="4">
                  <c:v>2.5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SQB: 3-bosqich (MHXS)</c:v>
                </c:pt>
              </c:strCache>
            </c:strRef>
          </c:tx>
          <c:spPr>
            <a:ln w="28575">
              <a:solidFill>
                <a:srgbClr val="1F4E79"/>
              </a:solidFill>
            </a:ln>
          </c:spPr>
          <c:marker>
            <c:symbol val="circle"/>
            <c:size val="5"/>
            <c:spPr>
              <a:solidFill>
                <a:srgbClr val="1F4E79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6.2</c:v>
                </c:pt>
                <c:pt idx="1">
                  <c:v>7.4</c:v>
                </c:pt>
                <c:pt idx="2">
                  <c:v>4.8</c:v>
                </c:pt>
                <c:pt idx="3">
                  <c:v>5.9</c:v>
                </c:pt>
                <c:pt idx="4">
                  <c:v>7.5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MKB: rasmiy muammoli</c:v>
                </c:pt>
              </c:strCache>
            </c:strRef>
          </c:tx>
          <c:spPr>
            <a:ln w="28575">
              <a:solidFill>
                <a:srgbClr val="70AD47"/>
              </a:solidFill>
              <a:prstDash val="dash"/>
            </a:ln>
          </c:spPr>
          <c:marker>
            <c:symbol val="circle"/>
            <c:size val="5"/>
            <c:spPr>
              <a:solidFill>
                <a:srgbClr val="70AD47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</c:formatCode>
                <c:ptCount val="5"/>
                <c:pt idx="0">
                  <c:v>5.9</c:v>
                </c:pt>
                <c:pt idx="1">
                  <c:v>4.8</c:v>
                </c:pt>
                <c:pt idx="2">
                  <c:v>6.0</c:v>
                </c:pt>
                <c:pt idx="3">
                  <c:v>4.6</c:v>
                </c:pt>
                <c:pt idx="4">
                  <c:v>4.4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MKB: 3-bosqich (MHXS)</c:v>
                </c:pt>
              </c:strCache>
            </c:strRef>
          </c:tx>
          <c:spPr>
            <a:ln w="28575">
              <a:solidFill>
                <a:srgbClr val="375623"/>
              </a:solidFill>
            </a:ln>
          </c:spPr>
          <c:marker>
            <c:symbol val="circle"/>
            <c:size val="5"/>
            <c:spPr>
              <a:solidFill>
                <a:srgbClr val="375623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Sheet1!$E$2:$E$6</c:f>
              <c:numCache>
                <c:formatCode>0.0</c:formatCode>
                <c:ptCount val="5"/>
                <c:pt idx="0">
                  <c:v>17.4</c:v>
                </c:pt>
                <c:pt idx="1">
                  <c:v>13.5</c:v>
                </c:pt>
                <c:pt idx="2">
                  <c:v>16.6</c:v>
                </c:pt>
                <c:pt idx="3">
                  <c:v>15.2</c:v>
                </c:pt>
                <c:pt idx="4">
                  <c:v>12.3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Aloqabank: rasmiy muammoli</c:v>
                </c:pt>
              </c:strCache>
            </c:strRef>
          </c:tx>
          <c:spPr>
            <a:ln w="28575">
              <a:solidFill>
                <a:srgbClr val="ED7D31"/>
              </a:solidFill>
              <a:prstDash val="dash"/>
            </a:ln>
          </c:spPr>
          <c:marker>
            <c:symbol val="circle"/>
            <c:size val="5"/>
            <c:spPr>
              <a:solidFill>
                <a:srgbClr val="ED7D31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Sheet1!$F$2:$F$6</c:f>
              <c:numCache>
                <c:formatCode>0.0</c:formatCode>
                <c:ptCount val="5"/>
                <c:pt idx="0">
                  <c:v>4.1</c:v>
                </c:pt>
                <c:pt idx="1">
                  <c:v>2.0</c:v>
                </c:pt>
                <c:pt idx="2">
                  <c:v>1.5</c:v>
                </c:pt>
                <c:pt idx="3">
                  <c:v>1.9</c:v>
                </c:pt>
                <c:pt idx="4">
                  <c:v>2.5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Aloqabank: 3-bosqich (MHXS)</c:v>
                </c:pt>
              </c:strCache>
            </c:strRef>
          </c:tx>
          <c:spPr>
            <a:ln w="28575">
              <a:solidFill>
                <a:srgbClr val="C00000"/>
              </a:solidFill>
            </a:ln>
          </c:spPr>
          <c:marker>
            <c:symbol val="circle"/>
            <c:size val="5"/>
            <c:spPr>
              <a:solidFill>
                <a:srgbClr val="C00000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Sheet1!$G$2:$G$6</c:f>
              <c:numCache>
                <c:formatCode>0.0</c:formatCode>
                <c:ptCount val="5"/>
                <c:pt idx="0">
                  <c:v>10.0</c:v>
                </c:pt>
                <c:pt idx="1">
                  <c:v>9.9</c:v>
                </c:pt>
                <c:pt idx="2">
                  <c:v>6.1</c:v>
                </c:pt>
                <c:pt idx="3">
                  <c:v>7.5</c:v>
                </c:pt>
                <c:pt idx="4">
                  <c:v>7.2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0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4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rgbClr val="7F7F7F"/>
            </a:solidFill>
          </a:ln>
        </c:spPr>
        <c:txPr>
          <a:bodyPr/>
          <a:lstStyle/>
          <a:p>
            <a:pPr>
              <a:defRPr sz="1000" b="1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</c:dTable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