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color w:val="FF0000"/>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w:t>
            </w:r>
            <w:r>
              <w:rPr>
                <w:sz w:val="22"/>
              </w:rPr>
              <w:t xml:space="preserve">yashirin kredit riski koeffitsiyenti </w:t>
            </w:r>
            <w:r>
              <w:rPr>
                <w:color w:val="FF0000"/>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color w:val="FF0000"/>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color w:val="FF0000"/>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color w:val="FF0000"/>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color w:val="FF0000"/>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color w:val="FF0000"/>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color w:val="FF0000"/>
        </w:rPr>
        <w:footnoteReference w:id="400"/>
      </w:r>
      <w:r>
        <w:rPr>
          <w:color w:val="FF0000"/>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color w:val="FF0000"/>
        </w:rPr>
        <w:t xml:space="preserve">, uzluksiz shkalada esa mos ravishda 3,96 va 3,04 ball oladi</w:t>
      </w:r>
      <w:r>
        <w:t xml:space="preserve">, holbuki ularning barqarorligi sezilarli farq qiladi. Uzluksiz shkalada esa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color w:val="FF0000"/>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color w:val="FF0000"/>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color w:val="FF0000"/>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 xml:space="preserve">asosan </w:t>
      </w:r>
      <w:r>
        <w:rPr>
          <w:color w:val="FF0000"/>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color w:val="FF0000"/>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color w:val="FF0000"/>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