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va tadqiqotning asosiy obyekti bo‘lgan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«Biznesni rivojlantirish banki» ATB da ham xuddi shunday manzara kuzatilgan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1.4-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«Biznesni rivojlantirish banki» ATB da integral indeks dinamikasi va erta ogohlantirish chegaralari, 2021–2025-yillar</w:t>
      </w:r>
      <w:r>
        <w:rPr>
          <w:rStyle w:val="FootnoteReference"/>
        </w:rPr>
        <w:footnoteReference w:id="48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2022-yilda 2,67–2,93 ballni tashkil etgan bo‘lsa (2021-yil IV va 2022-yil IV choraklari bo‘yicha bankning daromad va likvidlik ko‘rsatkichlari ma’lumotlar bazasida mavjud emas, shu sababli bu choraklarda indeks hisoblanmagan), 2023-yil III choragidagi 2,64 balldan 2023-yil IV choragida 2,44 ballgacha va 2024-yil I choragida 2,20 ballgacha pasaygan. Bu signal bankning 2024-yil I choragidagi 394,0 mlrd so‘mlik va IV choragidagi 1 952,0 mlrd so‘mlik zararlaridan oldin berilgan. Zarar va qayta kapitallashtirishdan keyin indeks 2025-yilda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6" name="4.1.5-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4.1.5-rasm. «O‘zsanoatqurilishbank» ATB da milliy hisobot va MHXS hisoboti asosidagi integral indeks hamda erta ogohlantirish chegaralari, 2021–2025-yillar</w:t>
      </w:r>
      <w:r>
        <w:rPr>
          <w:rStyle w:val="FootnoteReference"/>
        </w:rPr>
        <w:footnoteReference w:id="4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6">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87">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5F1B4E"/>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5EEBE8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5B45C4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2"/>
              <c:delete val="1"/>
            </c:dLbl>
            <c:dLbl>
              <c:idx val="4"/>
              <c:delete val="1"/>
            </c:dLbl>
            <c:dLbl>
              <c:idx val="5"/>
              <c:delete val="1"/>
            </c:dLbl>
            <c:dLbl>
              <c:idx val="6"/>
              <c:delete val="1"/>
            </c:dLbl>
            <c:dLbl>
              <c:idx val="10"/>
              <c:delete val="1"/>
            </c:dLbl>
            <c:dLbl>
              <c:idx val="11"/>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