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20"/>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21"/>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25"/>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26"/>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27"/>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28"/>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29"/>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30"/>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31"/>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32"/>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3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34"/>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1" name="4.1.1-rasm"/>
            <wp:cNvGraphicFramePr/>
            <a:graphic>
              <a:graphicData uri="http://schemas.openxmlformats.org/drawingml/2006/chart">
                <c:chart r:id="rId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3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3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37"/>
      </w:r>
      <w:r>
        <w:rPr>
          <w:rStyle w:val="FootnoteReference"/>
        </w:rPr>
        <w:footnoteReference w:id="38"/>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2" name="4.1.2-rasm"/>
            <wp:cNvGraphicFramePr/>
            <a:graphic>
              <a:graphicData uri="http://schemas.openxmlformats.org/drawingml/2006/chart">
                <c:chart r:id="rId1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1"/>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va tadqiqotning asosiy obyekti bo‘lgan «O‘zsanoatqurilishbank» ATB misolida ko‘rib chiqish mumkin. Dastlab «Mikrokreditbank» ATB ning integral indeksi dinamikasini ko‘rib chiqamiz (4.1.3-rasm).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3" name="4.1.3-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«Biznesni rivojlantirish banki» ATB da ham xuddi shunday manzara kuzatilgan (4.1.4-rasm).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4" name="4.1.4-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«Biznesni rivojlantirish banki» ATB da integral indeks dinamikasi va erta ogohlantirish chegaralari, 2021–2025-yillar</w:t>
      </w:r>
      <w:r>
        <w:rPr>
          <w:rStyle w:val="FootnoteReference"/>
        </w:rPr>
        <w:footnoteReference w:id="4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2022-yilda 2,67–2,93 ballni tashkil etgan bo‘lsa (2021-yil IV va 2022-yil IV choraklari bo‘yicha bankning daromad va likvidlik ko‘rsatkichlari ma’lumotlar bazasida mavjud emas, shu sababli bu choraklarda indeks hisoblanmagan), 2023-yil III choragidagi 2,64 balldan 2023-yil IV choragida 2,44 ballgacha va 2024-yil I choragida 2,20 ballgacha pasaygan. Bu signal bankning 2024-yil I choragidagi 394,0 mlrd so‘mlik va IV choragidagi 1 952,0 mlrd so‘mlik zararlaridan oldin berilgan. Zarar va qayta kapitallashtirishdan keyin indeks 2025-yilda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(4.1.5-rasm).</w:t>
      </w:r>
    </w:p>
    <w:p>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05" name="4.1.5-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4.1.5-rasm. «O‘zsanoatqurilishbank» ATB da milliy hisobot va MHXS hisoboti asosidagi integral indeks hamda erta ogohlantirish chegaralari, 2021–2025-yillar</w:t>
      </w:r>
      <w:r>
        <w:rPr>
          <w:rStyle w:val="FootnoteReference"/>
        </w:rPr>
        <w:footnoteReference w:id="4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47"/>
    <w:sectPr>
      <w:pgMar w:left="1701" w:right="850"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21">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22">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23">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24">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25">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26">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2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28">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29">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0">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31">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32">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4">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35">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3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37">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38">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39">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1">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2">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3">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6">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rFonts w:ascii="Times New Roman" w:hAnsi="Times New Roman"/>
      <w:b/>
    </w:rPr>
  </w:style>
  <w:style w:type="character" w:customStyle="1" w:styleId="DataTypeTok">
    <w:name w:val="DataTypeTok"/>
    <w:basedOn w:val="VerbatimChar"/>
    <w:rPr>
      <w:rFonts w:ascii="Times New Roman" w:hAnsi="Times New Roman"/>
    </w:rPr>
  </w:style>
  <w:style w:type="character" w:customStyle="1" w:styleId="DecValTok">
    <w:name w:val="DecValTok"/>
    <w:basedOn w:val="VerbatimChar"/>
    <w:rPr>
      <w:rFonts w:ascii="Times New Roman" w:hAnsi="Times New Roman"/>
    </w:rPr>
  </w:style>
  <w:style w:type="character" w:customStyle="1" w:styleId="BaseNTok">
    <w:name w:val="BaseNTok"/>
    <w:basedOn w:val="VerbatimChar"/>
    <w:rPr>
      <w:rFonts w:ascii="Times New Roman" w:hAnsi="Times New Roman"/>
    </w:rPr>
  </w:style>
  <w:style w:type="character" w:customStyle="1" w:styleId="FloatTok">
    <w:name w:val="FloatTok"/>
    <w:basedOn w:val="VerbatimChar"/>
    <w:rPr>
      <w:rFonts w:ascii="Times New Roman" w:hAnsi="Times New Roman"/>
    </w:rPr>
  </w:style>
  <w:style w:type="character" w:customStyle="1" w:styleId="ConstantTok">
    <w:name w:val="ConstantTok"/>
    <w:basedOn w:val="VerbatimChar"/>
    <w:rPr>
      <w:rFonts w:ascii="Times New Roman" w:hAnsi="Times New Roman"/>
    </w:rPr>
  </w:style>
  <w:style w:type="character" w:customStyle="1" w:styleId="CharTok">
    <w:name w:val="CharTok"/>
    <w:basedOn w:val="VerbatimChar"/>
    <w:rPr>
      <w:rFonts w:ascii="Times New Roman" w:hAnsi="Times New Roman"/>
    </w:rPr>
  </w:style>
  <w:style w:type="character" w:customStyle="1" w:styleId="SpecialCharTok">
    <w:name w:val="SpecialCharTok"/>
    <w:basedOn w:val="VerbatimChar"/>
    <w:rPr>
      <w:rFonts w:ascii="Times New Roman" w:hAnsi="Times New Roman"/>
    </w:rPr>
  </w:style>
  <w:style w:type="character" w:customStyle="1" w:styleId="StringTok">
    <w:name w:val="StringTok"/>
    <w:basedOn w:val="VerbatimChar"/>
    <w:rPr>
      <w:rFonts w:ascii="Times New Roman" w:hAnsi="Times New Roman"/>
    </w:rPr>
  </w:style>
  <w:style w:type="character" w:customStyle="1" w:styleId="VerbatimStringTok">
    <w:name w:val="VerbatimStringTok"/>
    <w:basedOn w:val="VerbatimChar"/>
    <w:rPr>
      <w:rFonts w:ascii="Times New Roman" w:hAnsi="Times New Roman"/>
    </w:rPr>
  </w:style>
  <w:style w:type="character" w:customStyle="1" w:styleId="SpecialStringTok">
    <w:name w:val="SpecialStringTok"/>
    <w:basedOn w:val="VerbatimChar"/>
    <w:rPr>
      <w:rFonts w:ascii="Times New Roman" w:hAnsi="Times New Roman"/>
    </w:rPr>
  </w:style>
  <w:style w:type="character" w:customStyle="1" w:styleId="ImportTok">
    <w:name w:val="ImportTok"/>
    <w:basedOn w:val="VerbatimChar"/>
    <w:rPr>
      <w:rFonts w:ascii="Times New Roman" w:hAnsi="Times New Roman"/>
      <w:b/>
    </w:rPr>
  </w:style>
  <w:style w:type="character" w:customStyle="1" w:styleId="CommentTok">
    <w:name w:val="CommentTok"/>
    <w:basedOn w:val="VerbatimChar"/>
    <w:rPr>
      <w:rFonts w:ascii="Times New Roman" w:hAnsi="Times New Roman"/>
      <w:i/>
    </w:rPr>
  </w:style>
  <w:style w:type="character" w:customStyle="1" w:styleId="DocumentationTok">
    <w:name w:val="DocumentationTok"/>
    <w:basedOn w:val="VerbatimChar"/>
    <w:rPr>
      <w:rFonts w:ascii="Times New Roman" w:hAnsi="Times New Roman"/>
      <w:i/>
    </w:rPr>
  </w:style>
  <w:style w:type="character" w:customStyle="1" w:styleId="AnnotationTok">
    <w:name w:val="AnnotationTok"/>
    <w:basedOn w:val="VerbatimChar"/>
    <w:rPr>
      <w:rFonts w:ascii="Times New Roman" w:hAnsi="Times New Roman"/>
      <w:b/>
      <w:i/>
    </w:rPr>
  </w:style>
  <w:style w:type="character" w:customStyle="1" w:styleId="CommentVarTok">
    <w:name w:val="CommentVarTok"/>
    <w:basedOn w:val="VerbatimChar"/>
    <w:rPr>
      <w:rFonts w:ascii="Times New Roman" w:hAnsi="Times New Roman"/>
      <w:b/>
      <w:i/>
    </w:rPr>
  </w:style>
  <w:style w:type="character" w:customStyle="1" w:styleId="OtherTok">
    <w:name w:val="OtherTok"/>
    <w:basedOn w:val="VerbatimChar"/>
    <w:rPr>
      <w:rFonts w:ascii="Times New Roman" w:hAnsi="Times New Roman"/>
    </w:rPr>
  </w:style>
  <w:style w:type="character" w:customStyle="1" w:styleId="FunctionTok">
    <w:name w:val="FunctionTok"/>
    <w:basedOn w:val="VerbatimChar"/>
    <w:rPr>
      <w:rFonts w:ascii="Times New Roman" w:hAnsi="Times New Roman"/>
    </w:rPr>
  </w:style>
  <w:style w:type="character" w:customStyle="1" w:styleId="VariableTok">
    <w:name w:val="VariableTok"/>
    <w:basedOn w:val="VerbatimChar"/>
    <w:rPr>
      <w:rFonts w:ascii="Times New Roman" w:hAnsi="Times New Roman"/>
    </w:rPr>
  </w:style>
  <w:style w:type="character" w:customStyle="1" w:styleId="ControlFlowTok">
    <w:name w:val="ControlFlowTok"/>
    <w:basedOn w:val="VerbatimChar"/>
    <w:rPr>
      <w:rFonts w:ascii="Times New Roman" w:hAnsi="Times New Roman"/>
      <w:b/>
    </w:rPr>
  </w:style>
  <w:style w:type="character" w:customStyle="1" w:styleId="OperatorTok">
    <w:name w:val="OperatorTok"/>
    <w:basedOn w:val="VerbatimChar"/>
    <w:rPr>
      <w:rFonts w:ascii="Times New Roman" w:hAnsi="Times New Roman"/>
    </w:rPr>
  </w:style>
  <w:style w:type="character" w:customStyle="1" w:styleId="BuiltInTok">
    <w:name w:val="BuiltInTok"/>
    <w:basedOn w:val="VerbatimChar"/>
    <w:rPr>
      <w:rFonts w:ascii="Times New Roman" w:hAnsi="Times New Roman"/>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rPr>
  </w:style>
  <w:style w:type="character" w:customStyle="1" w:styleId="AttributeTok">
    <w:name w:val="AttributeTok"/>
    <w:basedOn w:val="VerbatimChar"/>
    <w:rPr>
      <w:rFonts w:ascii="Times New Roman" w:hAnsi="Times New Roman"/>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rFonts w:ascii="Times New Roman" w:hAnsi="Times New Roman"/>
      <w:b/>
      <w:i/>
    </w:rPr>
  </w:style>
  <w:style w:type="character" w:customStyle="1" w:styleId="WarningTok">
    <w:name w:val="WarningTok"/>
    <w:basedOn w:val="VerbatimChar"/>
    <w:rPr>
      <w:rFonts w:ascii="Times New Roman" w:hAnsi="Times New Roman"/>
      <w:b/>
      <w:i/>
    </w:rPr>
  </w:style>
  <w:style w:type="character" w:customStyle="1" w:styleId="AlertTok">
    <w:name w:val="AlertTok"/>
    <w:basedOn w:val="VerbatimChar"/>
    <w:rPr>
      <w:rFonts w:ascii="Times New Roman" w:hAnsi="Times New Roman"/>
      <w:b/>
    </w:rPr>
  </w:style>
  <w:style w:type="character" w:customStyle="1" w:styleId="ErrorTok">
    <w:name w:val="ErrorTok"/>
    <w:basedOn w:val="VerbatimChar"/>
    <w:rPr>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 Id="rId13" Type="http://schemas.openxmlformats.org/officeDocument/2006/relationships/chart" Target="charts/chart5.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2"/>
              <c:delete val="1"/>
            </c:dLbl>
            <c:dLbl>
              <c:idx val="4"/>
              <c:delete val="1"/>
            </c:dLbl>
            <c:dLbl>
              <c:idx val="5"/>
              <c:delete val="1"/>
            </c:dLbl>
            <c:dLbl>
              <c:idx val="6"/>
              <c:delete val="1"/>
            </c:dLbl>
            <c:dLbl>
              <c:idx val="10"/>
              <c:delete val="1"/>
            </c:dLbl>
            <c:dLbl>
              <c:idx val="11"/>
              <c:delete val="1"/>
            </c:dLbl>
            <c:dLbl>
              <c:idx val="14"/>
              <c:delete val="1"/>
            </c:dLbl>
            <c:dLbl>
              <c:idx val="15"/>
              <c:delete val="1"/>
            </c:dLbl>
            <c:dLbl>
              <c:idx val="16"/>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1">
                  <c:v>2.67</c:v>
                </c:pt>
                <c:pt idx="2">
                  <c:v>2.71</c:v>
                </c:pt>
                <c:pt idx="3">
                  <c:v>2.93</c:v>
                </c:pt>
                <c:pt idx="5">
                  <c:v>2.85</c:v>
                </c:pt>
                <c:pt idx="6">
                  <c:v>2.65</c:v>
                </c:pt>
                <c:pt idx="7">
                  <c:v>2.64</c:v>
                </c:pt>
                <c:pt idx="8">
                  <c:v>2.44</c:v>
                </c:pt>
                <c:pt idx="9">
                  <c:v>2.2</c:v>
                </c:pt>
                <c:pt idx="10">
                  <c:v>2.3</c:v>
                </c:pt>
                <c:pt idx="11">
                  <c:v>2.45</c:v>
                </c:pt>
                <c:pt idx="12">
                  <c:v>2.83</c:v>
                </c:pt>
                <c:pt idx="13">
                  <c:v>3.18</c:v>
                </c:pt>
                <c:pt idx="14">
                  <c:v>3.28</c:v>
                </c:pt>
                <c:pt idx="15">
                  <c:v>3.22</c:v>
                </c:pt>
                <c:pt idx="16">
                  <c:v>3.15</c:v>
                </c:pt>
              </c:numCache>
            </c:numRef>
          </c:yVal>
          <c:smooth val="0"/>
        </c:ser>
        <c:ser>
          <c:idx val="1"/>
          <c:order val="1"/>
          <c:tx>
            <c:strRef>
              <c:f>Sheet1!$D$1</c:f>
              <c:strCache>
                <c:ptCount val="1"/>
                <c:pt idx="0">
                  <c:v>Qizil zona chegarasi (2,75)</c:v>
                </c:pt>
              </c:strCache>
            </c:strRef>
          </c:tx>
          <c:spPr>
            <a:ln w="15875">
              <a:solidFill>
                <a:srgbClr val="C00000"/>
              </a:solidFill>
              <a:prstDash val="dash"/>
            </a:ln>
          </c:spPr>
          <c:marker>
            <c:symbol val="none"/>
          </c:marker>
          <c:xVal>
            <c:numRef>
              <c:f>Sheet1!$C$2:$C$18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Sheet1!$D$2:$D$18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2"/>
          <c:order val="2"/>
          <c:tx>
            <c:strRef>
              <c:f>Sheet1!$F$1</c:f>
              <c:strCache>
                <c:ptCount val="1"/>
                <c:pt idx="0">
                  <c:v>Yashil zona chegarasi (3,25)</c:v>
                </c:pt>
              </c:strCache>
            </c:strRef>
          </c:tx>
          <c:spPr>
            <a:ln w="15875">
              <a:solidFill>
                <a:srgbClr val="70AD47"/>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2026-10-11T20:27:46Z</dcterms:created>
  <dcterms:modified xsi:type="dcterms:W3CDTF">2026-10-11T20:27:46Z</dcterms:modified>
</cp:coreProperties>
</file>

<file path=docProps/custom.xml><?xml version="1.0" encoding="utf-8"?>
<Properties xmlns="http://schemas.openxmlformats.org/officeDocument/2006/custom-properties" xmlns:vt="http://schemas.openxmlformats.org/officeDocument/2006/docPropsVTypes"/>
</file>