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i w:val="0"/>
          <w:sz w:val="28"/>
        </w:rPr>
        <w:t>1.1.6-rasmning yangi varianti (namuna)</w:t>
      </w:r>
    </w:p>
    <w:p>
      <w:pPr>
        <w:ind w:firstLine="0"/>
        <w:jc w:val="both"/>
      </w:pPr>
      <w:r>
        <w:rPr>
          <w:b w:val="0"/>
          <w:i/>
          <w:color w:val="595959"/>
          <w:sz w:val="24"/>
        </w:rPr>
        <w:t>Ma’qul bo‘lsa: 1.1-§ dagi “Bu ko‘rsatkichning amaliy samaradorligini L. Chiaramonte va F. Poli tadqiqoti yaqqol tasdiqlaydi (1.1.6-rasm).” jumlasi quyidagi birinchi xatboshi bilan, 1.1.6-rasm va undan keyingi “Mualliflar 12 mamlakatdagi …” xatboshi esa quyidagi rasm va tahlil bilan almashtiriladi.</w:t>
      </w:r>
    </w:p>
    <w:p>
      <w:pPr>
        <w:ind w:firstLine="709"/>
        <w:jc w:val="both"/>
      </w:pPr>
      <w:r>
        <w:rPr>
          <w:b w:val="0"/>
          <w:i w:val="0"/>
          <w:sz w:val="28"/>
        </w:rPr>
        <w:t>… Bu ko‘rsatkichning amaliy samaradorligini L. Chiaramonte va F. Poli tadqiqoti tasdiqlaydi: ular 12 mamlakatdagi 3125 ta bankning 2001–2011-yillardagi ma’lumotlari asosida faqat Z-score ko‘rsatkichining o‘zi muammoga uchragan banklarning 75 foizini, sog‘lom banklarning esa 81 foizini to‘g‘ri aniqlaganini ko‘rsatgan[1]. Biroq O‘zbekiston bank tizimining 2021–2025-yillardagi ma’lumotlari bu xulosani tasdiqlamaydi (1.1.6-rasm).</w:t>
      </w:r>
    </w:p>
    <w:p>
      <w:pPr>
        <w:jc w:val="center"/>
      </w:pPr>
      <w:r xmlns:a="http://schemas.openxmlformats.org/drawingml/2006/main" xmlns:c="http://schemas.openxmlformats.org/drawingml/2006/chart">
        <w:rPr>
          <w:noProof/>
        </w:rPr>
        <w:drawing>
          <wp:inline distT="0" distB="0" distL="0" distR="0">
            <wp:extent cx="5760000" cy="3060000"/>
            <wp:effectExtent l="0" t="0" r="0" b="0"/>
            <wp:docPr id="1001" name="1.1.6-rasm"/>
            <wp:cNvGraphicFramePr/>
            <a:graphic>
              <a:graphicData uri="http://schemas.openxmlformats.org/drawingml/2006/chart">
                <c:chart r:id="rId9"/>
              </a:graphicData>
            </a:graphic>
          </wp:inline>
        </w:drawing>
      </w:r>
    </w:p>
    <w:p>
      <w:pPr>
        <w:ind w:firstLine="0"/>
        <w:jc w:val="center"/>
      </w:pPr>
      <w:r>
        <w:rPr>
          <w:b/>
          <w:i w:val="0"/>
          <w:sz w:val="28"/>
        </w:rPr>
        <w:t>1.1.6-rasm. Z-score ko‘rsatkichi va integral indeksning O‘zbekiston tijorat banklari muammolarini bashorat qilish aniqligi, 2021–2025-yillar, %[2]</w:t>
      </w:r>
    </w:p>
    <w:p>
      <w:pPr>
        <w:ind w:firstLine="709"/>
        <w:jc w:val="both"/>
      </w:pPr>
      <w:r>
        <w:rPr>
          <w:b w:val="0"/>
          <w:i w:val="0"/>
          <w:sz w:val="28"/>
        </w:rPr>
        <w:t>Rasm ma’lumotlari shuni ko‘rsatadiki, O‘zbekiston banklarida faqat Z-score ko‘rsatkichining o‘zi muammoga uchragan banklarning 50 foizini, sog‘lom banklarning 69 foizini to‘g‘ri aniqlaydi, ya’ni uning bashorat kuchi tasodifiy tasniflashdan deyarli farq qilmaydi. Logit modelida ham Z-score logarifmi statistik ahamiyatsiz (p = 0,19), integral indeksga qo‘shilganda esa uning bashorat kuchini oshirmaydi (p = 0,74). 3.1-paragrafda taklif etilgan integral indeks esa xuddi shu ma’lumotlarda muammoli banklarning 100 foizini, sog‘lom banklarning 78 foizini to‘g‘ri aniqlaydi. Bu farqning sababi shundaki, O‘zbekiston banklarida, ayniqsa davlat ishtirokidagi banklarda, kapitalning aktivlarga nisbati davlat tomonidan kapitallashtirish hisobiga yuqori saqlanadi, aktivlar sifatidagi muammolar esa aktivlar rentabelligi o‘zgaruvchanligida kechikib aks etadi. Natijada faqat kapital va rentabellikka asoslangan Z-score yashirin kredit riskini sezmaydi. Bundan kelib chiqadiki, aksiyalar bozori rivojlanmagan O‘zbekiston sharoitida buxgalteriya ma’lumotlariga asoslangan baholash bitta ko‘rsatkich bilan cheklanmasligi, balki aktivlar sifati blokini o‘z ichiga olgan integral baholash usuliga tayanishi lozim.</w:t>
      </w:r>
    </w:p>
    <w:p>
      <w:pPr>
        <w:ind w:firstLine="0"/>
        <w:jc w:val="center"/>
      </w:pPr>
      <w:r>
        <w:rPr>
          <w:b/>
          <w:i w:val="0"/>
          <w:sz w:val="28"/>
        </w:rPr>
        <w:t>Sahifa osti snoskalari</w:t>
      </w:r>
    </w:p>
    <w:p>
      <w:pPr>
        <w:ind w:firstLine="0"/>
        <w:jc w:val="both"/>
      </w:pPr>
      <w:r>
        <w:rPr>
          <w:b w:val="0"/>
          <w:i w:val="0"/>
          <w:sz w:val="22"/>
        </w:rPr>
        <w:t>[1] Chiaramonte L., Poli F. Predicting European Bank Distress: Evidence from the Recent Financial Crisis // Governance, Regulation and Bank Stability / ed. by T. Lindblom, S. Sjögren, M. Willesson. – Basingstoke: Palgrave Macmillan, 2014. – P. 83–95.</w:t>
      </w:r>
    </w:p>
    <w:p>
      <w:pPr>
        <w:ind w:firstLine="0"/>
        <w:jc w:val="both"/>
      </w:pPr>
      <w:r>
        <w:rPr>
          <w:b w:val="0"/>
          <w:i w:val="0"/>
          <w:sz w:val="22"/>
        </w:rPr>
        <w:t>[2] Tadqiqot natijasida muallif tomonidan 25 ta tijorat bankining 2021–2025-yillardagi choraklik hisobotlari asosida hisoblandi (214 ta kuzatuv, 18 ta muammo hodisasi). Muammo hodisasi – keyingi to‘rt chorak ichida choraklik zararning kapitalning 5 foizidan oshishi (4.1-§); Z-score aktivlar rentabelligining sakkiz chorak bo‘yicha standart og‘ishi asosida hisoblangani sababli kuzatuvlar 2022-yil IV choragidan boshlanadi; har bir model uchun chegaraviy qiymat Youden mezoni bo‘yicha tanlangan.</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Muammoli banklar to‘g‘ri aniqlangan</c:v>
                </c:pt>
              </c:strCache>
            </c:strRef>
          </c:tx>
          <c:spPr>
            <a:solidFill>
              <a:srgbClr val="EB6834"/>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Sheet1!$A$2:$A$4</c:f>
              <c:strCache>
                <c:ptCount val="3"/>
                <c:pt idx="0">
                  <c:v>Faqat Z-score</c:v>
                </c:pt>
                <c:pt idx="1">
                  <c:v>Integral indeks (MBII)</c:v>
                </c:pt>
                <c:pt idx="2">
                  <c:v>MBII + Z-score</c:v>
                </c:pt>
              </c:strCache>
            </c:strRef>
          </c:cat>
          <c:val>
            <c:numRef>
              <c:f>Sheet1!$B$2:$B$4</c:f>
              <c:numCache>
                <c:formatCode>General</c:formatCode>
                <c:ptCount val="3"/>
                <c:pt idx="0">
                  <c:v>50</c:v>
                </c:pt>
                <c:pt idx="1">
                  <c:v>100</c:v>
                </c:pt>
                <c:pt idx="2">
                  <c:v>100</c:v>
                </c:pt>
              </c:numCache>
            </c:numRef>
          </c:val>
        </c:ser>
        <c:ser>
          <c:idx val="1"/>
          <c:order val="1"/>
          <c:tx>
            <c:strRef>
              <c:f>Sheet1!$C$1</c:f>
              <c:strCache>
                <c:ptCount val="1"/>
                <c:pt idx="0">
                  <c:v>Sog‘lom banklar to‘g‘ri aniqlangan</c:v>
                </c:pt>
              </c:strCache>
            </c:strRef>
          </c:tx>
          <c:spPr>
            <a:solidFill>
              <a:srgbClr val="2A78D6"/>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Sheet1!$A$2:$A$4</c:f>
              <c:strCache>
                <c:ptCount val="3"/>
                <c:pt idx="0">
                  <c:v>Faqat Z-score</c:v>
                </c:pt>
                <c:pt idx="1">
                  <c:v>Integral indeks (MBII)</c:v>
                </c:pt>
                <c:pt idx="2">
                  <c:v>MBII + Z-score</c:v>
                </c:pt>
              </c:strCache>
            </c:strRef>
          </c:cat>
          <c:val>
            <c:numRef>
              <c:f>Sheet1!$C$2:$C$4</c:f>
              <c:numCache>
                <c:formatCode>General</c:formatCode>
                <c:ptCount val="3"/>
                <c:pt idx="0">
                  <c:v>69</c:v>
                </c:pt>
                <c:pt idx="1">
                  <c:v>78</c:v>
                </c:pt>
                <c:pt idx="2">
                  <c:v>78</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To‘g‘ri tasniflash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