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 xml:space="preserve">Writting the record into the database. </w:t>
      </w:r>
    </w:p>
    <w:p w:rsidR="00710076" w:rsidRPr="00710076" w:rsidRDefault="00710076">
      <w:pPr>
        <w:rPr>
          <w:rFonts w:ascii="Times New Roman" w:hAnsi="Times New Roman" w:cs="Times New Roman"/>
          <w:color w:val="333333"/>
          <w:sz w:val="20"/>
          <w:szCs w:val="20"/>
          <w:shd w:val="clear" w:color="auto" w:fill="FFFFFF"/>
        </w:rPr>
      </w:pP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But how to call a distributed service ?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calling. Answer is definitely not, </w:t>
      </w:r>
      <w:r w:rsidRPr="00710076">
        <w:rPr>
          <w:rFonts w:ascii="Times New Roman" w:hAnsi="Times New Roman" w:cs="Times New Roman"/>
          <w:color w:val="333333"/>
          <w:sz w:val="20"/>
          <w:szCs w:val="20"/>
          <w:shd w:val="clear" w:color="auto" w:fill="FFFFFF"/>
        </w:rPr>
        <w:t>we need to design a</w:t>
      </w:r>
      <w:r w:rsidR="00D545EE">
        <w:rPr>
          <w:rFonts w:ascii="Times New Roman" w:hAnsi="Times New Roman" w:cs="Times New Roman"/>
          <w:color w:val="333333"/>
          <w:sz w:val="20"/>
          <w:szCs w:val="20"/>
          <w:shd w:val="clear" w:color="auto" w:fill="FFFFFF"/>
        </w:rPr>
        <w:t xml:space="preserve"> unified middleware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710076" w:rsidRPr="00710076" w:rsidRDefault="00710076">
      <w:pPr>
        <w:rPr>
          <w:rFonts w:ascii="Times New Roman" w:hAnsi="Times New Roman" w:cs="Times New Roman"/>
          <w:color w:val="333333"/>
          <w:sz w:val="20"/>
          <w:szCs w:val="20"/>
          <w:shd w:val="clear" w:color="auto" w:fill="FFFFFF"/>
        </w:rPr>
      </w:pP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See the chart bel</w:t>
      </w:r>
      <w:r w:rsidR="00D545EE">
        <w:rPr>
          <w:rFonts w:ascii="Times New Roman" w:hAnsi="Times New Roman" w:cs="Times New Roman" w:hint="eastAsia"/>
          <w:color w:val="333333"/>
          <w:sz w:val="20"/>
          <w:szCs w:val="20"/>
          <w:shd w:val="clear" w:color="auto" w:fill="FFFFFF"/>
        </w:rPr>
        <w:t>ow,  applications,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F45F9C">
      <w:pPr>
        <w:rPr>
          <w:rFonts w:ascii="Times New Roman" w:hAnsi="Times New Roman" w:cs="Times New Roman"/>
          <w:color w:val="333333"/>
          <w:sz w:val="20"/>
          <w:szCs w:val="20"/>
          <w:shd w:val="clear" w:color="auto" w:fill="FFFFFF"/>
        </w:rPr>
      </w:pPr>
      <w:r w:rsidRPr="00F45F9C">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a5"/>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Chart below show the main structure of the linkage. Client side &amp; Service side will communicate with each other by different type of io. NIO is now most widely used, so we use this type of io. But still keep the extension for other type of io. The wapper layer placed above the io layer. In this layer, we will wrapper/unwrapper message with the io protocol. The serialization/deserialization layer placed above the wrapper</w:t>
      </w:r>
      <w:r w:rsidR="00FD0165">
        <w:rPr>
          <w:rFonts w:ascii="Times New Roman" w:hAnsi="Times New Roman" w:cs="Times New Roman" w:hint="eastAsia"/>
          <w:color w:val="333333"/>
          <w:sz w:val="20"/>
          <w:szCs w:val="20"/>
          <w:shd w:val="clear" w:color="auto" w:fill="FFFFFF"/>
        </w:rPr>
        <w:t xml:space="preserve"> layer, it will</w:t>
      </w:r>
      <w:r>
        <w:rPr>
          <w:rFonts w:ascii="Times New Roman" w:hAnsi="Times New Roman" w:cs="Times New Roman" w:hint="eastAsia"/>
          <w:color w:val="333333"/>
          <w:sz w:val="20"/>
          <w:szCs w:val="20"/>
          <w:shd w:val="clear" w:color="auto" w:fill="FFFFFF"/>
        </w:rPr>
        <w:t xml:space="preserve"> use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a5"/>
        <w:ind w:left="420" w:firstLineChars="0" w:firstLine="0"/>
        <w:rPr>
          <w:rFonts w:ascii="Helvetica" w:hAnsi="Helvetica" w:cs="Helvetica"/>
          <w:color w:val="333333"/>
          <w:sz w:val="24"/>
          <w:szCs w:val="24"/>
          <w:shd w:val="clear" w:color="auto" w:fill="FFFFFF"/>
        </w:rPr>
      </w:pPr>
    </w:p>
    <w:p w:rsidR="00F33328" w:rsidRPr="00D545EE" w:rsidRDefault="00F45F9C">
      <w:pPr>
        <w:rPr>
          <w:sz w:val="13"/>
          <w:szCs w:val="13"/>
        </w:rPr>
      </w:pPr>
      <w:r w:rsidRPr="00F45F9C">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r>
                      <w:rPr>
                        <w:rFonts w:hint="eastAsia"/>
                        <w:sz w:val="13"/>
                        <w:szCs w:val="13"/>
                      </w:rPr>
                      <w:t>Unw</w:t>
                    </w:r>
                    <w:r w:rsidRPr="00F33328">
                      <w:rPr>
                        <w:rFonts w:hint="eastAsia"/>
                        <w:sz w:val="13"/>
                        <w:szCs w:val="13"/>
                      </w:rPr>
                      <w:t>rapper</w:t>
                    </w:r>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Serialization/Deserialization</w:t>
                    </w:r>
                  </w:p>
                </w:txbxContent>
              </v:textbox>
            </v:rect>
            <v:rect id="_x0000_s2089" style="position:absolute;left:2246;top:3599;width:1814;height:454">
              <v:textbox>
                <w:txbxContent>
                  <w:p w:rsidR="00F33328" w:rsidRPr="00F33328" w:rsidRDefault="00D545EE" w:rsidP="00FD0165">
                    <w:pPr>
                      <w:rPr>
                        <w:sz w:val="13"/>
                        <w:szCs w:val="13"/>
                      </w:rPr>
                    </w:pPr>
                    <w:r>
                      <w:rPr>
                        <w:rFonts w:hint="eastAsia"/>
                        <w:sz w:val="13"/>
                        <w:szCs w:val="13"/>
                      </w:rPr>
                      <w:t>ServiceAccess</w:t>
                    </w:r>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Serialization/Deserialization</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F45F9C">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a5"/>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 xml:space="preserve">model. There is one main reactor accept all connection then the acceptor will post the connect to the sub reactor. Sub reactor will deal with the read&amp;write operation of the connection. Netty actually use this model for its nio case. We would use this model too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to deal with more concurrent requrest.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a5"/>
        <w:ind w:left="420" w:firstLineChars="0" w:firstLine="0"/>
        <w:rPr>
          <w:rFonts w:ascii="Helvetica" w:hAnsi="Helvetica" w:cs="Helvetica"/>
          <w:color w:val="333333"/>
          <w:sz w:val="24"/>
          <w:szCs w:val="24"/>
          <w:shd w:val="clear" w:color="auto" w:fill="FFFFFF"/>
        </w:rPr>
      </w:pPr>
      <w:r>
        <w:rPr>
          <w:noProof/>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class diagram of nio part</w:t>
      </w:r>
      <w:r>
        <w:rPr>
          <w:rFonts w:ascii="Times New Roman" w:hAnsi="Times New Roman" w:cs="Times New Roman" w:hint="eastAsia"/>
          <w:color w:val="333333"/>
          <w:sz w:val="20"/>
          <w:szCs w:val="20"/>
          <w:shd w:val="clear" w:color="auto" w:fill="FFFFFF"/>
        </w:rPr>
        <w:t xml:space="preserve">, the server act as the main reactor which will accept all of the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worker is actually the sub reactor. The server will listen the port, once there is new connection coming. The server will register the channel to the worker through the worker pool.</w:t>
      </w:r>
    </w:p>
    <w:p w:rsidR="00390B49" w:rsidRPr="00D02BC8" w:rsidRDefault="00390B49" w:rsidP="00FD0165">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Wrap&amp;Unwrap Layer</w:t>
      </w:r>
    </w:p>
    <w:p w:rsidR="00D02BC8" w:rsidRDefault="00D02BC8" w:rsidP="00D02BC8">
      <w:pPr>
        <w:pStyle w:val="a5"/>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 will be unwrapped for using.</w:t>
      </w:r>
      <w:r w:rsidR="004F6C69">
        <w:rPr>
          <w:rFonts w:ascii="Times New Roman" w:hAnsi="Times New Roman" w:cs="Times New Roman" w:hint="eastAsia"/>
          <w:color w:val="333333"/>
          <w:sz w:val="20"/>
          <w:szCs w:val="20"/>
          <w:shd w:val="clear" w:color="auto" w:fill="FFFFFF"/>
        </w:rPr>
        <w:t xml:space="preserve"> For the tcp/ip protocol, one connection is like a river, the messages are 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is the border of one message. We must use one </w:t>
      </w:r>
      <w:r w:rsidR="004F6C69" w:rsidRPr="004F6C69">
        <w:rPr>
          <w:rFonts w:ascii="Times New Roman" w:hAnsi="Times New Roman" w:cs="Times New Roman"/>
          <w:color w:val="333333"/>
          <w:sz w:val="20"/>
          <w:szCs w:val="20"/>
          <w:shd w:val="clear" w:color="auto" w:fill="FFFFFF"/>
        </w:rPr>
        <w:t>mechanism</w:t>
      </w:r>
      <w:r w:rsidR="004F6C69">
        <w:rPr>
          <w:rFonts w:ascii="Times New Roman" w:hAnsi="Times New Roman" w:cs="Times New Roman" w:hint="eastAsia"/>
          <w:color w:val="333333"/>
          <w:sz w:val="20"/>
          <w:szCs w:val="20"/>
          <w:shd w:val="clear" w:color="auto" w:fill="FFFFFF"/>
        </w:rPr>
        <w:t xml:space="preserve"> to control it. Using protocol is one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some data, we could check if it is a complete message according to the protocol. If not we need to put the data to the buffer, then wait until the data in buffer contains one message or more. Then we extract the message from the buffer. </w:t>
      </w:r>
    </w:p>
    <w:p w:rsidR="00296F57" w:rsidRPr="00FA501E" w:rsidRDefault="00FA501E" w:rsidP="00FA501E">
      <w:pPr>
        <w:pStyle w:val="a5"/>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IO Procotol</w:t>
      </w:r>
    </w:p>
    <w:p w:rsidR="00FA501E" w:rsidRPr="00FA501E" w:rsidRDefault="00FA501E" w:rsidP="00FA501E">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procotol,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r w:rsidR="00390B49">
        <w:rPr>
          <w:rFonts w:ascii="Times New Roman" w:hAnsi="Times New Roman" w:cs="Times New Roman" w:hint="eastAsia"/>
          <w:color w:val="333333"/>
          <w:sz w:val="20"/>
          <w:szCs w:val="20"/>
          <w:shd w:val="clear" w:color="auto" w:fill="FFFFFF"/>
        </w:rPr>
        <w:t>header&amp;body.</w:t>
      </w:r>
    </w:p>
    <w:p w:rsidR="00FE0292" w:rsidRPr="00D02BC8" w:rsidRDefault="00F45F9C" w:rsidP="00D02BC8">
      <w:pPr>
        <w:pStyle w:val="a5"/>
        <w:numPr>
          <w:ilvl w:val="0"/>
          <w:numId w:val="1"/>
        </w:numPr>
        <w:ind w:firstLineChars="0"/>
        <w:rPr>
          <w:rFonts w:ascii="Helvetica" w:hAnsi="Helvetica" w:cs="Helvetica"/>
          <w:color w:val="333333"/>
          <w:sz w:val="24"/>
          <w:szCs w:val="24"/>
          <w:shd w:val="clear" w:color="auto" w:fill="FFFFFF"/>
        </w:rPr>
      </w:pPr>
      <w:hyperlink r:id="rId9" w:history="1">
        <w:r w:rsidR="00D02BC8">
          <w:rPr>
            <w:rFonts w:ascii="Helvetica" w:hAnsi="Helvetica" w:cs="Helvetica" w:hint="eastAsia"/>
            <w:color w:val="333333"/>
            <w:sz w:val="24"/>
            <w:szCs w:val="24"/>
            <w:shd w:val="clear" w:color="auto" w:fill="FFFFFF"/>
          </w:rPr>
          <w:t>P</w:t>
        </w:r>
        <w:r w:rsidR="00D02BC8" w:rsidRPr="006C4E69">
          <w:rPr>
            <w:rFonts w:ascii="Helvetica" w:hAnsi="Helvetica" w:cs="Helvetica"/>
            <w:color w:val="333333"/>
            <w:sz w:val="24"/>
            <w:szCs w:val="24"/>
            <w:shd w:val="clear" w:color="auto" w:fill="FFFFFF"/>
          </w:rPr>
          <w:t>erformance</w:t>
        </w:r>
      </w:hyperlink>
      <w:r w:rsidR="00D02BC8" w:rsidRPr="006C4E69">
        <w:rPr>
          <w:rFonts w:ascii="Helvetica" w:hAnsi="Helvetica" w:cs="Helvetica"/>
          <w:color w:val="333333"/>
          <w:sz w:val="24"/>
          <w:szCs w:val="24"/>
          <w:shd w:val="clear" w:color="auto" w:fill="FFFFFF"/>
        </w:rPr>
        <w:t> </w:t>
      </w:r>
      <w:hyperlink r:id="rId10" w:history="1">
        <w:r w:rsidR="00D02BC8" w:rsidRPr="006C4E69">
          <w:rPr>
            <w:rFonts w:ascii="Helvetica" w:hAnsi="Helvetica" w:cs="Helvetica"/>
            <w:color w:val="333333"/>
            <w:sz w:val="24"/>
            <w:szCs w:val="24"/>
            <w:shd w:val="clear" w:color="auto" w:fill="FFFFFF"/>
          </w:rPr>
          <w:t>index</w:t>
        </w:r>
      </w:hyperlink>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Concurrence and presure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D26" w:rsidRDefault="00F00D26" w:rsidP="00FE0292">
      <w:r>
        <w:separator/>
      </w:r>
    </w:p>
  </w:endnote>
  <w:endnote w:type="continuationSeparator" w:id="0">
    <w:p w:rsidR="00F00D26" w:rsidRDefault="00F00D26"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D26" w:rsidRDefault="00F00D26" w:rsidP="00FE0292">
      <w:r>
        <w:separator/>
      </w:r>
    </w:p>
  </w:footnote>
  <w:footnote w:type="continuationSeparator" w:id="0">
    <w:p w:rsidR="00F00D26" w:rsidRDefault="00F00D26"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05DB"/>
    <w:multiLevelType w:val="hybridMultilevel"/>
    <w:tmpl w:val="B29ED0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A5ACD"/>
    <w:rsid w:val="00296F57"/>
    <w:rsid w:val="00333D3F"/>
    <w:rsid w:val="00390B49"/>
    <w:rsid w:val="00483871"/>
    <w:rsid w:val="004F6C69"/>
    <w:rsid w:val="006673D6"/>
    <w:rsid w:val="006C4E69"/>
    <w:rsid w:val="00710076"/>
    <w:rsid w:val="007E063E"/>
    <w:rsid w:val="008C7202"/>
    <w:rsid w:val="008F3952"/>
    <w:rsid w:val="009A12BD"/>
    <w:rsid w:val="009B7D5C"/>
    <w:rsid w:val="00B2666F"/>
    <w:rsid w:val="00C9054A"/>
    <w:rsid w:val="00C90F04"/>
    <w:rsid w:val="00D02BC8"/>
    <w:rsid w:val="00D545EE"/>
    <w:rsid w:val="00F00D26"/>
    <w:rsid w:val="00F33328"/>
    <w:rsid w:val="00F45F9C"/>
    <w:rsid w:val="00F50154"/>
    <w:rsid w:val="00F55AB3"/>
    <w:rsid w:val="00FA501E"/>
    <w:rsid w:val="00FC72A3"/>
    <w:rsid w:val="00FD0165"/>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rules v:ext="edit">
        <o:r id="V:Rule2"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 w:type="paragraph" w:styleId="a8">
    <w:name w:val="Balloon Text"/>
    <w:basedOn w:val="a"/>
    <w:link w:val="Char1"/>
    <w:uiPriority w:val="99"/>
    <w:semiHidden/>
    <w:unhideWhenUsed/>
    <w:rsid w:val="00FD0165"/>
    <w:rPr>
      <w:sz w:val="18"/>
      <w:szCs w:val="18"/>
    </w:rPr>
  </w:style>
  <w:style w:type="character" w:customStyle="1" w:styleId="Char1">
    <w:name w:val="批注框文本 Char"/>
    <w:basedOn w:val="a0"/>
    <w:link w:val="a8"/>
    <w:uiPriority w:val="99"/>
    <w:semiHidden/>
    <w:rsid w:val="00FD016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26</cp:revision>
  <dcterms:created xsi:type="dcterms:W3CDTF">2014-12-29T14:40:00Z</dcterms:created>
  <dcterms:modified xsi:type="dcterms:W3CDTF">2014-12-30T16:22:00Z</dcterms:modified>
</cp:coreProperties>
</file>