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SmartParking — Интеграция UParking</w:t>
      </w:r>
    </w:p>
    <w:p>
      <w:r>
        <w:t>Версия: v1.0 | Сервер: https://whirl.uz | Swagger: https://whirl.uz/smartparking/swagger/</w:t>
      </w:r>
    </w:p>
    <w:p>
      <w:pPr>
        <w:pStyle w:val="Heading1"/>
      </w:pPr>
      <w:r>
        <w:t>1. Схема работы</w:t>
      </w:r>
    </w:p>
    <w:p>
      <w:r>
        <w:t>1. UParking при выезде отправляет данные — SmartParking</w:t>
        <w:br/>
        <w:t>2. SmartParking возвращает QR-код</w:t>
        <w:br/>
        <w:t>3. Водитель сканирует QR — оплачивает через Click</w:t>
        <w:br/>
        <w:t>4. Click подтверждает оплату — SmartParking открывает шлагбаум</w:t>
        <w:br/>
        <w:t>5. SmartParking отправляет статус оплаты — UParking (callback)</w:t>
      </w:r>
    </w:p>
    <w:p>
      <w:pPr>
        <w:pStyle w:val="Heading1"/>
      </w:pPr>
      <w:r>
        <w:t>2. Создание платежа (UParking — SmartParking)</w:t>
      </w:r>
    </w:p>
    <w:p>
      <w:r>
        <w:rPr>
          <w:b/>
        </w:rPr>
        <w:t>POST https://whirl.uz/api/billing/create</w:t>
      </w:r>
      <w:r>
        <w:br/>
        <w:t>Content-Type: application/json</w:t>
      </w:r>
      <w:r>
        <w:br/>
        <w:t>X-Billing-Secret: uparking-shared-secret-2026</w:t>
      </w:r>
    </w:p>
    <w:p>
      <w:pPr>
        <w:pStyle w:val="Heading2"/>
      </w:pPr>
      <w:r>
        <w:t>Параметры запроса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Обязательно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160"/>
          </w:tcPr>
          <w:p>
            <w:r>
              <w:t>sessionId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ID платёжной сессии UParking</w:t>
            </w:r>
          </w:p>
        </w:tc>
      </w:tr>
      <w:tr>
        <w:tc>
          <w:tcPr>
            <w:tcW w:type="dxa" w:w="2160"/>
          </w:tcPr>
          <w:p>
            <w:r>
              <w:t>parkingStart</w:t>
            </w:r>
          </w:p>
        </w:tc>
        <w:tc>
          <w:tcPr>
            <w:tcW w:type="dxa" w:w="2160"/>
          </w:tcPr>
          <w:p>
            <w:r>
              <w:t>RFC 3339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Время въезда</w:t>
            </w:r>
          </w:p>
        </w:tc>
      </w:tr>
      <w:tr>
        <w:tc>
          <w:tcPr>
            <w:tcW w:type="dxa" w:w="2160"/>
          </w:tcPr>
          <w:p>
            <w:r>
              <w:t>parkingEnd</w:t>
            </w:r>
          </w:p>
        </w:tc>
        <w:tc>
          <w:tcPr>
            <w:tcW w:type="dxa" w:w="2160"/>
          </w:tcPr>
          <w:p>
            <w:r>
              <w:t>RFC 3339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Время выезда</w:t>
            </w:r>
          </w:p>
        </w:tc>
      </w:tr>
      <w:tr>
        <w:tc>
          <w:tcPr>
            <w:tcW w:type="dxa" w:w="2160"/>
          </w:tcPr>
          <w:p>
            <w:r>
              <w:t>parkingTimeSeconds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Длительность парковки (сек)</w:t>
            </w:r>
          </w:p>
        </w:tc>
      </w:tr>
      <w:tr>
        <w:tc>
          <w:tcPr>
            <w:tcW w:type="dxa" w:w="2160"/>
          </w:tcPr>
          <w:p>
            <w:r>
              <w:t>plateNo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Госномер автомобиля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Да</w:t>
            </w:r>
          </w:p>
        </w:tc>
        <w:tc>
          <w:tcPr>
            <w:tcW w:type="dxa" w:w="2160"/>
          </w:tcPr>
          <w:p>
            <w:r>
              <w:t>Сумма к оплате (UZS)</w:t>
            </w:r>
          </w:p>
        </w:tc>
      </w:tr>
      <w:tr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UZS</w:t>
            </w:r>
          </w:p>
        </w:tc>
      </w:tr>
      <w:tr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Parking</w:t>
            </w:r>
          </w:p>
        </w:tc>
      </w:tr>
    </w:tbl>
    <w:p>
      <w:pPr>
        <w:pStyle w:val="Heading2"/>
      </w:pPr>
      <w:r>
        <w:t>Пример запроса</w:t>
      </w:r>
    </w:p>
    <w:p>
      <w:r>
        <w:t>{</w:t>
        <w:br/>
        <w:t xml:space="preserve">  "sessionId": "8f2c1a4e-9b7d-4c3a-8e21-0f5a6b7c8d90",</w:t>
        <w:br/>
        <w:t xml:space="preserve">  "parkingStart": "2026-08-06T09:14:32.000+00:00",</w:t>
        <w:br/>
        <w:t xml:space="preserve">  "parkingEnd": "2026-08-06T11:47:05.000+00:00",</w:t>
        <w:br/>
        <w:t xml:space="preserve">  "parkingTimeSeconds": 9153,</w:t>
        <w:br/>
        <w:t xml:space="preserve">  "plateNo": "01A123BC",</w:t>
        <w:br/>
        <w:t xml:space="preserve">  "amount": 15000,</w:t>
        <w:br/>
        <w:t xml:space="preserve">  "currency": "UZS",</w:t>
        <w:br/>
        <w:t xml:space="preserve">  "purpose": "Parking"</w:t>
        <w:br/>
        <w:t>}</w:t>
      </w:r>
    </w:p>
    <w:p>
      <w:pPr>
        <w:pStyle w:val="Heading2"/>
      </w:pPr>
      <w:r>
        <w:t>Параметры ответа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billingReferenceId</w:t>
            </w:r>
          </w:p>
        </w:tc>
        <w:tc>
          <w:tcPr>
            <w:tcW w:type="dxa" w:w="4320"/>
          </w:tcPr>
          <w:p>
            <w:r>
              <w:t>ID транзакции</w:t>
            </w:r>
          </w:p>
        </w:tc>
      </w:tr>
      <w:tr>
        <w:tc>
          <w:tcPr>
            <w:tcW w:type="dxa" w:w="4320"/>
          </w:tcPr>
          <w:p>
            <w:r>
              <w:t>qrPayload</w:t>
            </w:r>
          </w:p>
        </w:tc>
        <w:tc>
          <w:tcPr>
            <w:tcW w:type="dxa" w:w="4320"/>
          </w:tcPr>
          <w:p>
            <w:r>
              <w:t>QR-контент</w:t>
            </w:r>
          </w:p>
        </w:tc>
      </w:tr>
      <w:tr>
        <w:tc>
          <w:tcPr>
            <w:tcW w:type="dxa" w:w="4320"/>
          </w:tcPr>
          <w:p>
            <w:r>
              <w:t>qrCodeBase64</w:t>
            </w:r>
          </w:p>
        </w:tc>
        <w:tc>
          <w:tcPr>
            <w:tcW w:type="dxa" w:w="4320"/>
          </w:tcPr>
          <w:p>
            <w:r>
              <w:t>QR PNG Base64</w:t>
            </w:r>
          </w:p>
        </w:tc>
      </w:tr>
    </w:tbl>
    <w:p>
      <w:pPr>
        <w:pStyle w:val="Heading2"/>
      </w:pPr>
      <w:r>
        <w:t>Пример ответа</w:t>
      </w:r>
    </w:p>
    <w:p>
      <w:r>
        <w:t>{</w:t>
        <w:br/>
        <w:t xml:space="preserve">  "billingReferenceId": "89",</w:t>
        <w:br/>
        <w:t xml:space="preserve">  "qrPayload": "service_id=2005&amp;merchant_id=19876&amp;amount=1500000&amp;transaction_param=89",</w:t>
        <w:br/>
        <w:t xml:space="preserve">  "qrCodeBase64": "iVBORw0KGgo..."</w:t>
        <w:br/>
        <w:t>}</w:t>
      </w:r>
    </w:p>
    <w:p>
      <w:pPr>
        <w:pStyle w:val="Heading1"/>
      </w:pPr>
      <w:r>
        <w:t>3. Callback (SmartParking — UParking)</w:t>
      </w:r>
    </w:p>
    <w:p>
      <w:r>
        <w:rPr>
          <w:b/>
        </w:rPr>
        <w:t>POST {callback_url_UParking}</w:t>
      </w:r>
      <w:r>
        <w:br/>
        <w:t>Content-Type: application/json</w:t>
      </w:r>
      <w:r>
        <w:br/>
        <w:t>X-Billing-Secret: uparking-shared-secret-2026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sessionId</w:t>
            </w:r>
          </w:p>
        </w:tc>
        <w:tc>
          <w:tcPr>
            <w:tcW w:type="dxa" w:w="4320"/>
          </w:tcPr>
          <w:p>
            <w:r>
              <w:t>ID сессии</w:t>
            </w:r>
          </w:p>
        </w:tc>
      </w:tr>
      <w:tr>
        <w:tc>
          <w:tcPr>
            <w:tcW w:type="dxa" w:w="4320"/>
          </w:tcPr>
          <w:p>
            <w:r>
              <w:t>billingReferenceId</w:t>
            </w:r>
          </w:p>
        </w:tc>
        <w:tc>
          <w:tcPr>
            <w:tcW w:type="dxa" w:w="4320"/>
          </w:tcPr>
          <w:p>
            <w:r>
              <w:t>ID транзакции</w:t>
            </w:r>
          </w:p>
        </w:tc>
      </w:tr>
      <w:tr>
        <w:tc>
          <w:tcPr>
            <w:tcW w:type="dxa" w:w="4320"/>
          </w:tcPr>
          <w:p>
            <w:r>
              <w:t>paid</w:t>
            </w:r>
          </w:p>
        </w:tc>
        <w:tc>
          <w:tcPr>
            <w:tcW w:type="dxa" w:w="4320"/>
          </w:tcPr>
          <w:p>
            <w:r>
              <w:t>true/false</w:t>
            </w:r>
          </w:p>
        </w:tc>
      </w:tr>
      <w:tr>
        <w:tc>
          <w:tcPr>
            <w:tcW w:type="dxa" w:w="4320"/>
          </w:tcPr>
          <w:p>
            <w:r>
              <w:t>paidAt</w:t>
            </w:r>
          </w:p>
        </w:tc>
        <w:tc>
          <w:tcPr>
            <w:tcW w:type="dxa" w:w="4320"/>
          </w:tcPr>
          <w:p>
            <w:r>
              <w:t>Время оплаты RFC 3339</w:t>
            </w:r>
          </w:p>
        </w:tc>
      </w:tr>
    </w:tbl>
    <w:p>
      <w:pPr>
        <w:pStyle w:val="Heading2"/>
      </w:pPr>
      <w:r>
        <w:t>Пример</w:t>
      </w:r>
    </w:p>
    <w:p>
      <w:r>
        <w:t>{</w:t>
        <w:br/>
        <w:t xml:space="preserve">  "sessionId": "8f2c1a4e-9b7d-4c3a-8e21-0f5a6b7c8d90",</w:t>
        <w:br/>
        <w:t xml:space="preserve">  "billingReferenceId": "89",</w:t>
        <w:br/>
        <w:t xml:space="preserve">  "paid": true,</w:t>
        <w:br/>
        <w:t xml:space="preserve">  "paidAt": "2026-08-06T11:49:10.000+00:00"</w:t>
        <w:br/>
        <w:t>}</w:t>
      </w:r>
    </w:p>
    <w:p>
      <w:pPr>
        <w:pStyle w:val="Heading1"/>
      </w:pPr>
      <w:r>
        <w:t>4. Статусы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PendingBilling</w:t>
            </w:r>
          </w:p>
        </w:tc>
        <w:tc>
          <w:tcPr>
            <w:tcW w:type="dxa" w:w="4320"/>
          </w:tcPr>
          <w:p>
            <w:r>
              <w:t>Ожидает QR</w:t>
            </w:r>
          </w:p>
        </w:tc>
      </w:tr>
      <w:tr>
        <w:tc>
          <w:tcPr>
            <w:tcW w:type="dxa" w:w="4320"/>
          </w:tcPr>
          <w:p>
            <w:r>
              <w:t>QrReady</w:t>
            </w:r>
          </w:p>
        </w:tc>
        <w:tc>
          <w:tcPr>
            <w:tcW w:type="dxa" w:w="4320"/>
          </w:tcPr>
          <w:p>
            <w:r>
              <w:t>QR готов</w:t>
            </w:r>
          </w:p>
        </w:tc>
      </w:tr>
      <w:tr>
        <w:tc>
          <w:tcPr>
            <w:tcW w:type="dxa" w:w="4320"/>
          </w:tcPr>
          <w:p>
            <w:r>
              <w:t>Paid</w:t>
            </w:r>
          </w:p>
        </w:tc>
        <w:tc>
          <w:tcPr>
            <w:tcW w:type="dxa" w:w="4320"/>
          </w:tcPr>
          <w:p>
            <w:r>
              <w:t>Оплачено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Ошибка</w:t>
            </w:r>
          </w:p>
        </w:tc>
      </w:tr>
    </w:tbl>
    <w:p>
      <w:pPr>
        <w:pStyle w:val="Heading1"/>
      </w:pPr>
      <w:r>
        <w:t>5. Безопасность</w:t>
      </w:r>
    </w:p>
    <w:p>
      <w:pPr>
        <w:pStyle w:val="ListBullet"/>
      </w:pPr>
      <w:r>
        <w:t>TLS 1.2+ обязателен</w:t>
      </w:r>
    </w:p>
    <w:p>
      <w:pPr>
        <w:pStyle w:val="ListBullet"/>
      </w:pPr>
      <w:r>
        <w:t>Аутентификация: заголовок X-Billing-Secret</w:t>
      </w:r>
    </w:p>
    <w:p>
      <w:pPr>
        <w:pStyle w:val="ListBullet"/>
      </w:pPr>
      <w:r>
        <w:t>Секрет не логируется, не передаётся в URL</w:t>
      </w:r>
    </w:p>
    <w:p/>
    <w:p>
      <w:pPr>
        <w:pStyle w:val="Heading1"/>
      </w:pPr>
      <w:r>
        <w:t>Контакты</w:t>
      </w:r>
    </w:p>
    <w:p>
      <w:r>
        <w:t>admin@whirl.uz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