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监测链接平台项目交接说明</w:t>
      </w:r>
    </w:p>
    <w:p>
      <w:pPr>
        <w:pStyle w:val="Heading1"/>
      </w:pPr>
      <w:r>
        <w:t xml:space="preserve">一、项目背景</w:t>
      </w:r>
    </w:p>
    <w:p>
      <w:pPr>
        <w:spacing w:after="120"/>
      </w:pPr>
      <w:r>
        <w:t xml:space="preserve">由于兄弟部门开发资源紧张，原由双方协作的监测链接平台项目需要整体移交到我们团队，由我们自己承接后续开发与维护工作。</w:t>
      </w:r>
    </w:p>
    <w:p>
      <w:pPr>
        <w:pStyle w:val="Heading1"/>
      </w:pPr>
      <w:r>
        <w:t xml:space="preserve">二、项目概述</w:t>
      </w:r>
    </w:p>
    <w:p>
      <w:pPr>
        <w:spacing w:after="120"/>
      </w:pPr>
      <w:r>
        <w:t xml:space="preserve">本平台的核心功能是为各个媒体投放平台（如巨量引擎、腾讯广告、百度信息流等）批量生成和管理监测链接，支撑广告投放的数据追踪与效果归因。</w:t>
      </w:r>
    </w:p>
    <w:p>
      <w:pPr>
        <w:pStyle w:val="Heading1"/>
      </w:pPr>
      <w:r>
        <w:t xml:space="preserve">三、当前进展</w:t>
      </w:r>
    </w:p>
    <w:p>
      <w:pPr>
        <w:spacing w:after="80"/>
      </w:pPr>
      <w:r>
        <w:rPr>
          <w:b/>
          <w:bCs/>
        </w:rPr>
        <w:t xml:space="preserve">平台现状：</w:t>
      </w:r>
      <w:r>
        <w:t xml:space="preserve">目前平台搭建在 GMP 平台上，GMP 自带专属的后端权限体系，账号、角色、菜单权限等均依托 GMP 管理。</w:t>
      </w:r>
    </w:p>
    <w:p>
      <w:pPr>
        <w:spacing w:after="80"/>
      </w:pPr>
      <w:r>
        <w:rPr>
          <w:b/>
          <w:bCs/>
        </w:rPr>
        <w:t xml:space="preserve">已上线渠道：</w:t>
      </w:r>
      <w:r>
        <w:t xml:space="preserve">已有 14 个媒体渠道的监测链接开发完成并上线运行，涵盖主流投放平台。</w:t>
      </w:r>
    </w:p>
    <w:p>
      <w:pPr>
        <w:spacing w:after="120"/>
      </w:pPr>
      <w:r>
        <w:rPr>
          <w:b/>
          <w:bCs/>
        </w:rPr>
        <w:t xml:space="preserve">文档准备：</w:t>
      </w:r>
      <w:r>
        <w:t xml:space="preserve">各渠道的技术对接文档和逻辑说明可以由我这边整理提供，确保团队快速上手。</w:t>
      </w:r>
    </w:p>
    <w:p>
      <w:pPr>
        <w:pStyle w:val="Heading1"/>
      </w:pPr>
      <w:r>
        <w:t xml:space="preserve">四、技术方案选择</w:t>
      </w:r>
    </w:p>
    <w:p>
      <w:pPr>
        <w:spacing w:after="160"/>
      </w:pPr>
      <w:r>
        <w:t xml:space="preserve">后续开发有两个可选方向，需要团队评估后确定：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方案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优劣分析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color w:val="1F4E79"/>
              </w:rPr>
              <w:t xml:space="preserve">方案 A</w:t>
            </w:r>
            <w:r>
              <w:t xml:space="preserve">
继续使用 GMP</w:t>
            </w:r>
          </w:p>
        </w:tc>
        <w:tc>
          <w:tcPr>
            <w:tcW w:type="dxa" w:w="3500"/>
          </w:tcPr>
          <w:p>
            <w:r>
              <w:t xml:space="preserve">保持现有架构不变，复用 GMP 的后端权限体系和基础能力，仅将代码归属和运维职责转移到我们团队。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b/>
                <w:bCs/>
                <w:color w:val="2E7D32"/>
              </w:rPr>
              <w:t xml:space="preserve">✅ 优势：</w:t>
            </w:r>
            <w:r>
              <w:t xml:space="preserve">迁移成本低，改动范围小，14 个渠道无需重建</w:t>
            </w:r>
          </w:p>
          <w:p>
            <w:r>
              <w:rPr>
                <w:b/>
                <w:bCs/>
                <w:color w:val="E65100"/>
              </w:rPr>
              <w:t xml:space="preserve">⚠️ 风险：</w:t>
            </w:r>
            <w:r>
              <w:t xml:space="preserve">受限于 GMP 平台的权限体系和架构约束，扩展性受限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color w:val="1F4E79"/>
              </w:rPr>
              <w:t xml:space="preserve">方案 B</w:t>
            </w:r>
            <w:r>
              <w:t xml:space="preserve">
重新搭建</w:t>
            </w:r>
          </w:p>
        </w:tc>
        <w:tc>
          <w:tcPr>
            <w:tcW w:type="dxa" w:w="3500"/>
          </w:tcPr>
          <w:p>
            <w:r>
              <w:t xml:space="preserve">脱离 GMP 平台，从零搭建独立的监测链接管理平台，自行实现权限、后端逻辑和前端界面。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b/>
                <w:bCs/>
                <w:color w:val="2E7D32"/>
              </w:rPr>
              <w:t xml:space="preserve">✅ 优势：</w:t>
            </w:r>
            <w:r>
              <w:t xml:space="preserve">架构自主可控，不依赖外部平台，后续扩展灵活</w:t>
            </w:r>
          </w:p>
          <w:p>
            <w:r>
              <w:rPr>
                <w:b/>
                <w:bCs/>
                <w:color w:val="E65100"/>
              </w:rPr>
              <w:t xml:space="preserve">⚠️ 风险：</w:t>
            </w:r>
            <w:r>
              <w:t xml:space="preserve">初期搭建工作量大，需要额外投入时间做基础建设</w:t>
            </w:r>
          </w:p>
        </w:tc>
      </w:tr>
    </w:tbl>
    <w:p>
      <w:pPr>
        <w:pStyle w:val="Heading1"/>
      </w:pPr>
      <w:r>
        <w:t xml:space="preserve">五、有利条件</w:t>
      </w:r>
    </w:p>
    <w:p>
      <w:pPr>
        <w:spacing w:after="80"/>
      </w:pPr>
      <w:r>
        <w:rPr>
          <w:b/>
          <w:bCs/>
        </w:rPr>
        <w:t xml:space="preserve">代码可复用：</w:t>
      </w:r>
      <w:r>
        <w:t xml:space="preserve">老代码可以直接复制使用，不需要从零编写核心业务逻辑。14 个渠道的对接逻辑已有成熟的工程实现，迁移工作以适配和整合为主，而非重写，能显著降低开发工作量。</w:t>
      </w:r>
    </w:p>
    <w:p>
      <w:pPr>
        <w:spacing w:after="80"/>
      </w:pPr>
      <w:r>
        <w:rPr>
          <w:b/>
          <w:bCs/>
        </w:rPr>
        <w:t xml:space="preserve">文档可支撑：</w:t>
      </w:r>
      <w:r>
        <w:t xml:space="preserve">我会准备好各渠道的对接文档、接口说明和业务逻辑文档，帮助团队快速理解现有实现。</w:t>
      </w:r>
    </w:p>
    <w:p>
      <w:pPr>
        <w:pStyle w:val="Heading1"/>
      </w:pPr>
      <w:r>
        <w:t xml:space="preserve">六、资源需求</w:t>
      </w:r>
    </w:p>
    <w:p>
      <w:pPr>
        <w:spacing w:after="120"/>
      </w:pPr>
      <w:r>
        <w:t xml:space="preserve">接手后的持续运维需要以下角色投入：</w:t>
      </w:r>
    </w:p>
    <w:p>
      <w:pPr>
        <w:spacing w:after="80"/>
      </w:pPr>
      <w:r>
        <w:rPr>
          <w:b/>
          <w:bCs/>
        </w:rPr>
        <w:t xml:space="preserve">前端开发：</w:t>
      </w:r>
      <w:r>
        <w:t xml:space="preserve">负责数据报表模块的展示与交互开发，包括渠道效果看板、数据可视化等。</w:t>
      </w:r>
    </w:p>
    <w:p>
      <w:pPr>
        <w:spacing w:after="80"/>
      </w:pPr>
      <w:r>
        <w:rPr>
          <w:b/>
          <w:bCs/>
        </w:rPr>
        <w:t xml:space="preserve">后端开发：</w:t>
      </w:r>
      <w:r>
        <w:t xml:space="preserve">负责各媒体投放平台的接入对接、监测链接的生成逻辑、接口开发与维护。</w:t>
      </w:r>
    </w:p>
    <w:p>
      <w:pPr>
        <w:spacing w:after="120"/>
      </w:pPr>
      <w:r>
        <w:rPr>
          <w:b/>
          <w:bCs/>
        </w:rPr>
        <w:t xml:space="preserve">产品经理：</w:t>
      </w:r>
      <w:r>
        <w:t xml:space="preserve">负责项目整体规划、需求梳理、进度管理和跨部门协调。</w:t>
      </w:r>
    </w:p>
    <w:p>
      <w:pPr>
        <w:pStyle w:val="Heading1"/>
      </w:pPr>
      <w:r>
        <w:t xml:space="preserve">七、下一步计划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确认技术路线 —— 选择方案 A（继续使用 GMP）或方案 B（重新搭建）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我整理各渠道对接文档和现有代码清单，交付给团队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团队评估迁移工作量，排出项目排期和里程碑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明确前端、后端、产品的人员分工，正式启动项目</w:t>
      </w:r>
    </w:p>
    <w:p>
      <w:pPr>
        <w:spacing w:before="240"/>
      </w:pPr>
      <w:r>
        <w:rPr>
          <w:i/>
          <w:iCs/>
        </w:rPr>
        <w:t xml:space="preserve">——</w:t>
      </w:r>
      <w:r>
        <w:t xml:space="preserve">如有任何疑问，欢迎随时找我沟通。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2026-05-25T02:35:37.763Z</dcterms:created>
  <dcterms:modified xsi:type="dcterms:W3CDTF">2026-05-25T02:35:37.764Z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