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ESMO Open Cover Letter</w:t>
      </w:r>
    </w:p>
    <w:p>
      <w:r>
        <w:t>Dear Editors,</w:t>
      </w:r>
    </w:p>
    <w:p/>
    <w:p>
      <w:r>
        <w:t>Authors:</w:t>
      </w:r>
    </w:p>
    <w:p>
      <w:r>
        <w:t>Junwei Huang†¹, Xiaolei Wei†¹, Haiqing Zheng†², Qi Wei¹, Yongqiang Wei¹, Ru Feng¹, Xutao Guo*¹,³</w:t>
      </w:r>
    </w:p>
    <w:p>
      <w:r>
        <w:t>¹ Nanfang Hospital, Southern Medical University, Guangzhou, China</w:t>
      </w:r>
    </w:p>
    <w:p>
      <w:r>
        <w:t>² Department of Nosocomial Infection Management, Nanfang Hospital, Southern Medical University</w:t>
      </w:r>
    </w:p>
    <w:p>
      <w:r>
        <w:t>³ Clinical Medical Research Center of Hematological Diseases of Guangdong Province</w:t>
      </w:r>
    </w:p>
    <w:p>
      <w:r>
        <w:t>† Equal contribution. * Correspondence: guoxutao@smu.edu.cn</w:t>
      </w:r>
    </w:p>
    <w:p/>
    <w:p>
      <w:r>
        <w:t>We submit a secondary translational evidence analysis that asks a prior question the field has overlooked: "Are cross-tumor ICI toxicity comparisons supported by current evidence?" A four-system phenotype decomposition analysis shows they are not—because the four evidence types most commonly invoked in such comparisons measure fundamentally different toxicity phenotypes.</w:t>
      </w:r>
    </w:p>
    <w:p>
      <w:r>
        <w:t>Using lymphoma versus solid tumors as a clinical stress test, we audited the four evidence types most commonly invoked in cross-tumor comparisons: aggregate trial safety tables (384 rows, 36 source blocks), organ-specific strict irAE estimability (23 strata, 18 not estimable), openFDA pharmacovigilance signals (80 agent-family ROR cells), and patient-level melanoma PBMC molecular support (60 samples, 4 unadjusted FDR hits → 0 after therapy adjustment). None of these systems can support reliable cross-tumor ICI toxicity inference with currently available public data.</w:t>
      </w:r>
    </w:p>
    <w:p>
      <w:r>
        <w:t>The manuscript provides a phenotype interpretation standard—a practical guide defining what each evidence system can and cannot answer in cross-tumor contexts. It is not framed as a definitive meta-analysis, does not claim lineage causality, and does not interpret openFDA RORs as clinical incidence. Its contribution is to make the problem of endpoint heterogeneity visible, measurable, and actionable.</w:t>
      </w:r>
    </w:p>
    <w:p>
      <w:r>
        <w:t>We believe this fits ESMO Open as an oncology-wide translational evidence analysis with direct implications for how the field interprets, reports, and designs cross-tumor ICI safety comparisons.</w:t>
      </w:r>
    </w:p>
    <w:p>
      <w:r>
        <w:t>Repository: https://github.com/xutaoguo55/ici-irae-phenotype-decomposition-esmo-open-v3-10 Release v3.10: https://github.com/xutaoguo55/ici-irae-phenotype-decomposition-esmo-open-v3-10/releases/tag/v3.10 DOI: 10.5281/zenodo.20989857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