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ec9b981584d425ef75c0b630160218d1d069e00"/>
    <w:p>
      <w:pPr>
        <w:pStyle w:val="Heading1"/>
      </w:pPr>
      <w:r>
        <w:t xml:space="preserve">Four Evidence Systems, Four Toxicity Phenotypes: Why Cross-Tumor ICI Toxicity Comparisons Require Endpoint-Specific Evidence</w:t>
      </w:r>
    </w:p>
    <w:p>
      <w:pPr>
        <w:pStyle w:val="FirstParagraph"/>
      </w:pPr>
      <w:r>
        <w:t xml:space="preserve">Short title: Endpoint-specific ICI toxicity evidence</w:t>
      </w:r>
    </w:p>
    <w:bookmarkStart w:id="9" w:name="key-points"/>
    <w:p>
      <w:pPr>
        <w:pStyle w:val="Heading2"/>
      </w:pPr>
      <w:r>
        <w:t xml:space="preserve">Key Points</w:t>
      </w:r>
    </w:p>
    <w:p>
      <w:pPr>
        <w:pStyle w:val="Compact"/>
        <w:numPr>
          <w:ilvl w:val="0"/>
          <w:numId w:val="1001"/>
        </w:numPr>
      </w:pPr>
      <w:r>
        <w:rPr>
          <w:b/>
          <w:bCs/>
        </w:rPr>
        <w:t xml:space="preserve">What is already known:</w:t>
      </w:r>
      <w:r>
        <w:t xml:space="preserve"> </w:t>
      </w:r>
      <w:r>
        <w:t xml:space="preserve">Immune checkpoint inhibitor (ICI) toxicity is frequently compared across tumor types in clinical practice, meta-analyses, and regulatory discussions. The underlying assumption—that</w:t>
      </w:r>
      <w:r>
        <w:t xml:space="preserve"> </w:t>
      </w:r>
      <w:r>
        <w:t xml:space="preserve">“toxicity”</w:t>
      </w:r>
      <w:r>
        <w:t xml:space="preserve"> </w:t>
      </w:r>
      <w:r>
        <w:t xml:space="preserve">means the same thing across trials and data sources—requires explicit testing.</w:t>
      </w:r>
    </w:p>
    <w:p>
      <w:pPr>
        <w:pStyle w:val="Compact"/>
        <w:numPr>
          <w:ilvl w:val="0"/>
          <w:numId w:val="1001"/>
        </w:numPr>
      </w:pPr>
      <w:r>
        <w:rPr>
          <w:b/>
          <w:bCs/>
        </w:rPr>
        <w:t xml:space="preserve">What this study adds:</w:t>
      </w:r>
      <w:r>
        <w:t xml:space="preserve"> </w:t>
      </w:r>
      <w:r>
        <w:t xml:space="preserve">A four-system evidence audit shows that the toxicity endpoints, pharmacovigilance signals, and molecular correlates commonly invoked in cross-tumor comparisons measure fundamentally different phenotypes. Most strict organ-specific irAE comparisons are not estimable from public aggregate data (18 of 23 organ-by-grade strata blocked). A phenotype interpretation standard is provided.</w:t>
      </w:r>
    </w:p>
    <w:p>
      <w:pPr>
        <w:pStyle w:val="Compact"/>
        <w:numPr>
          <w:ilvl w:val="0"/>
          <w:numId w:val="1001"/>
        </w:numPr>
      </w:pPr>
      <w:r>
        <w:rPr>
          <w:b/>
          <w:bCs/>
        </w:rPr>
        <w:t xml:space="preserve">Implications for practice:</w:t>
      </w:r>
      <w:r>
        <w:t xml:space="preserve"> </w:t>
      </w:r>
      <w:r>
        <w:t xml:space="preserve">Cross-tumor ICI toxicity claims should specify which evidence system and endpoint class they use. Comparisons performed without this step risk measuring the evidence system rather than the biology. The minimum data fields required for valid cross-tumor comparison are defined.</w:t>
      </w:r>
    </w:p>
    <w:bookmarkEnd w:id="9"/>
    <w:bookmarkStart w:id="10" w:name="abstract"/>
    <w:p>
      <w:pPr>
        <w:pStyle w:val="Heading2"/>
      </w:pPr>
      <w:r>
        <w:t xml:space="preserve">Abstract</w:t>
      </w:r>
    </w:p>
    <w:p>
      <w:pPr>
        <w:pStyle w:val="FirstParagraph"/>
      </w:pPr>
      <w:r>
        <w:rPr>
          <w:b/>
          <w:bCs/>
        </w:rPr>
        <w:t xml:space="preserve">Background:</w:t>
      </w:r>
      <w:r>
        <w:t xml:space="preserve"> </w:t>
      </w:r>
      <w:r>
        <w:t xml:space="preserve">Immune checkpoint inhibitor (ICI) toxicity is routinely compared across tumor types in tumor boards, meta-analyses, and regulatory discussions, but the underlying measurements are often not exchangeable.</w:t>
      </w:r>
      <w:r>
        <w:t xml:space="preserve"> </w:t>
      </w:r>
      <w:r>
        <w:rPr>
          <w:b/>
          <w:bCs/>
        </w:rPr>
        <w:t xml:space="preserve">Methods:</w:t>
      </w:r>
      <w:r>
        <w:t xml:space="preserve"> </w:t>
      </w:r>
      <w:r>
        <w:t xml:space="preserve">Using lymphoma versus solid-tumor ICI safety as a clinical stress test, we audited four evidence types commonly invoked in cross-tumor comparisons: (1) a locked aggregate source registry of 384 endpoint-labelled rows across 36 source blocks; (2) an organ-specific strict irAE estimability audit across 23 organ-by-grade strata; (3) an exact-match openFDA pharmacovigilance analysis (10 ICI agents, 8 irAE families, 80 agent-family ROR cells); and (4) an external melanoma PBMC molecular-support cohort (GSE186144, 60 samples, 11 immune signatures).</w:t>
      </w:r>
      <w:r>
        <w:t xml:space="preserve"> </w:t>
      </w:r>
      <w:r>
        <w:rPr>
          <w:b/>
          <w:bCs/>
        </w:rPr>
        <w:t xml:space="preserve">Results:</w:t>
      </w:r>
      <w:r>
        <w:t xml:space="preserve"> </w:t>
      </w:r>
      <w:r>
        <w:t xml:space="preserve">Of 384 source rows, only 71 were endpoint-compatible for primary pooling. Broad high-grade treatment-related adverse events showed wide, overlapping prediction intervals (lymphoma 19.1%, PI 1.4–80.2 vs. solid tumors 31.1%, PI 4.7–80.5). Eighteen of 23 organ-by-grade strict irAE strata were unsuitable for lineage-wide pooling. openFDA reporting signals could not be mapped to tumor type. Four unadjusted FDR-significant immune signatures became zero after therapy adjustment in a single-tumor-type cohort.</w:t>
      </w:r>
      <w:r>
        <w:t xml:space="preserve"> </w:t>
      </w:r>
      <w:r>
        <w:rPr>
          <w:b/>
          <w:bCs/>
        </w:rPr>
        <w:t xml:space="preserve">Conclusions:</w:t>
      </w:r>
      <w:r>
        <w:t xml:space="preserve"> </w:t>
      </w:r>
      <w:r>
        <w:t xml:space="preserve">The four examined evidence systems measure different toxicity phenotypes. None of the examined public evidence systems supports reliable cross-tumor inference without phenotype-specific qualification. Investigators should specify the toxicity phenotype and verify that the evidence system supports the comparison before drawing cross-tumor conclusions. A phenotype interpretation standard guides this verification.</w:t>
      </w:r>
    </w:p>
    <w:bookmarkEnd w:id="10"/>
    <w:bookmarkStart w:id="11" w:name="introduction"/>
    <w:p>
      <w:pPr>
        <w:pStyle w:val="Heading2"/>
      </w:pPr>
      <w:r>
        <w:t xml:space="preserve">Introduction</w:t>
      </w:r>
    </w:p>
    <w:p>
      <w:pPr>
        <w:pStyle w:val="FirstParagraph"/>
      </w:pPr>
      <w:r>
        <w:t xml:space="preserve">A physician at a tumor board compares pembrolizumab toxicity in relapsed Hodgkin lymphoma—her own patient—with data from the KEYNOTE-006 melanoma safety table. KEYNOTE-006 reports adverse events of special interest selected for likely immune etiology. Her Hodgkin data come from KEYNOTE-087, which reports treatment-related adverse events without immune attribution. She concludes that pembrolizumab is less toxic in lymphoma. The conclusion is clinically intuitive but not supported by those two numbers, because they are not the same measurement.</w:t>
      </w:r>
    </w:p>
    <w:p>
      <w:pPr>
        <w:pStyle w:val="BodyText"/>
      </w:pPr>
      <w:r>
        <w:t xml:space="preserve">Now consider a drug developer preparing a regulatory submission. She has promising safety data for a novel ICI in hepatocellular carcinoma. She needs to contextualize her toxicity profile against published ICI experience. She pulls safety tables from melanoma, lung, renal, and bladder trials—four tumor types, four different endpoint conventions. The TRAE rate is high in lung cancer (dominated by chemo-ICI regimens), the irAE rate is incompletely reported in renal cancer, and AEOSI data exist only for melanoma. Averaging these values does not produce a cross-tumor toxicity benchmark; it mixes endpoint definitions.</w:t>
      </w:r>
    </w:p>
    <w:p>
      <w:pPr>
        <w:pStyle w:val="BodyText"/>
      </w:pPr>
      <w:r>
        <w:t xml:space="preserve">These two scenarios—the physician and the developer—represent a recurring problem in oncology evidence interpretation: ICI toxicity is compared across tumor types without first verifying whether the measurements are comparable. Published meta-analyses may claim that ICI toxicity</w:t>
      </w:r>
      <w:r>
        <w:t xml:space="preserve"> </w:t>
      </w:r>
      <w:r>
        <w:t xml:space="preserve">“differs by tumor type”</w:t>
      </w:r>
      <w:r>
        <w:t xml:space="preserve"> </w:t>
      </w:r>
      <w:r>
        <w:t xml:space="preserve">without controlling for endpoint class [representative examples reviewed in source registry]. ESMO, ASCO, and SITC guidelines appropriately discuss ICI toxicity as a class effect [35–37], but class-level language can invite cross-tumor extrapolation when endpoint definitions are not specified. These comparisons influence treatment selection, patient counseling, clinical trial design, and regulatory strategy.</w:t>
      </w:r>
    </w:p>
    <w:p>
      <w:pPr>
        <w:pStyle w:val="BodyText"/>
      </w:pPr>
      <w:r>
        <w:t xml:space="preserve">The underlying problem is not biological. It is structural. Trial reports contain at least nine endpoint classes: strict irAE, immune-mediated AE, AEOSI, TRAE, selected AE, regulatory adverse reaction rows, ClinicalTrials.gov registry terms, post-hoc immune-mediated analyses, and pooled-label safety summaries. These endpoints differ in attribution rules, grade thresholds, MedDRA coding, and denominators. A strict irAE requires investigator attribution of immune causality. A TRAE attributes events to any study drug, including chemotherapy. A selected adverse event reflects a sponsor-chosen list. An openFDA reporting odds ratio comes from spontaneous reports without any exposed-patient denominator. A peripheral blood transcriptional signature estimates no clinical incidence at all. Grouping these into a single</w:t>
      </w:r>
      <w:r>
        <w:t xml:space="preserve"> </w:t>
      </w:r>
      <w:r>
        <w:t xml:space="preserve">“toxicity”</w:t>
      </w:r>
      <w:r>
        <w:t xml:space="preserve"> </w:t>
      </w:r>
      <w:r>
        <w:t xml:space="preserve">outcome produces a number. It just does not produce a meaningful comparison.</w:t>
      </w:r>
    </w:p>
    <w:p>
      <w:pPr>
        <w:pStyle w:val="BodyText"/>
      </w:pPr>
      <w:r>
        <w:t xml:space="preserve">We used lymphoma versus solid tumors as a stress test because the comparison is clinically plausible, frequently performed, and vulnerable to misinterpretation—and because the evidence architecture differs enough to make the measurement problem visible. We did not ask</w:t>
      </w:r>
      <w:r>
        <w:t xml:space="preserve"> </w:t>
      </w:r>
      <w:r>
        <w:t xml:space="preserve">“is ICI more toxic in lymphoma or solid tumors?”</w:t>
      </w:r>
      <w:r>
        <w:t xml:space="preserve"> </w:t>
      </w:r>
      <w:r>
        <w:t xml:space="preserve">We asked a prior question:</w:t>
      </w:r>
      <w:r>
        <w:t xml:space="preserve"> </w:t>
      </w:r>
      <w:r>
        <w:t xml:space="preserve">“can the evidence systems commonly used in cross-tumor ICI toxicity discussions answer the question?”</w:t>
      </w:r>
      <w:r>
        <w:t xml:space="preserve"> </w:t>
      </w:r>
      <w:r>
        <w:t xml:space="preserve">Across all four systems examined, the answer was no.</w:t>
      </w:r>
    </w:p>
    <w:bookmarkEnd w:id="11"/>
    <w:bookmarkStart w:id="19" w:name="methods"/>
    <w:p>
      <w:pPr>
        <w:pStyle w:val="Heading2"/>
      </w:pPr>
      <w:r>
        <w:t xml:space="preserve">Methods</w:t>
      </w:r>
    </w:p>
    <w:bookmarkStart w:id="12" w:name="study-design"/>
    <w:p>
      <w:pPr>
        <w:pStyle w:val="Heading3"/>
      </w:pPr>
      <w:r>
        <w:t xml:space="preserve">Study design</w:t>
      </w:r>
    </w:p>
    <w:p>
      <w:pPr>
        <w:pStyle w:val="FirstParagraph"/>
      </w:pPr>
      <w:r>
        <w:t xml:space="preserve">This endpoint-stratified translational evidence audit examined four evidence types routinely invoked in cross-tumor ICI toxicity discussions: (1) aggregate clinical trial safety tables; (2) strict organ-specific irAE definitions; (3) pharmacovigilance reporting databases; and (4) patient-level transcriptomic profiles correlated with toxicity. The study used locked source files and public data. No new patient data were collected.</w:t>
      </w:r>
    </w:p>
    <w:bookmarkEnd w:id="12"/>
    <w:bookmarkStart w:id="13" w:name="aggregate-source-registry"/>
    <w:p>
      <w:pPr>
        <w:pStyle w:val="Heading3"/>
      </w:pPr>
      <w:r>
        <w:t xml:space="preserve">Aggregate source registry</w:t>
      </w:r>
    </w:p>
    <w:p>
      <w:pPr>
        <w:pStyle w:val="FirstParagraph"/>
      </w:pPr>
      <w:r>
        <w:t xml:space="preserve">A prespecified source registry of 384 rows across 36 source blocks was built from pivotal ICI trial reports, appendices, regulatory documents, trial registries, post-hoc safety reports, and public molecular datasets. The registry was locked on 2026-06-28; no post-lock trial updates were performed. Each row captured: study, trial ID, tumor lineage, tumor type, regimen, ICI agent and class, chemotherapy context, endpoint label, endpoint taxonomy, safety denominator, event count, rate, grade, source tier, and quantitative role. Extraction was performed by one analyst with computational audits. Absence of independent dual extraction is a limitation.</w:t>
      </w:r>
    </w:p>
    <w:bookmarkEnd w:id="13"/>
    <w:bookmarkStart w:id="14" w:name="endpoint-taxonomy-and-pooling-rules"/>
    <w:p>
      <w:pPr>
        <w:pStyle w:val="Heading3"/>
      </w:pPr>
      <w:r>
        <w:t xml:space="preserve">Endpoint taxonomy and pooling rules</w:t>
      </w:r>
    </w:p>
    <w:p>
      <w:pPr>
        <w:pStyle w:val="FirstParagraph"/>
      </w:pPr>
      <w:r>
        <w:t xml:space="preserve">Every source row was classified into one of nine endpoint classes: strict irAE, immune-mediated AE/imAE, AEOSI, TRAE, selected AE sensitivity, regulatory sensitivity, registry audit only, subgroup/post-hoc sensitivity, or context only. Only rows with compatible endpoint labels, grade thresholds, denominators, and quantitative roles entered primary pooling (71 rows). The remaining 313 rows were retained as sensitivity, audit, or context evidence.</w:t>
      </w:r>
    </w:p>
    <w:bookmarkEnd w:id="14"/>
    <w:bookmarkStart w:id="15" w:name="clinical-synthesis"/>
    <w:p>
      <w:pPr>
        <w:pStyle w:val="Heading3"/>
      </w:pPr>
      <w:r>
        <w:t xml:space="preserve">Clinical synthesis</w:t>
      </w:r>
    </w:p>
    <w:p>
      <w:pPr>
        <w:pStyle w:val="FirstParagraph"/>
      </w:pPr>
      <w:r>
        <w:t xml:space="preserve">Endpoint-compatible pooled estimates used random-effects meta-analysis with REML estimation. Reported: k, total events, total denominator, pooled rate, 95% CI, prediction interval, I². Architecture sensitivity addressed concurrent chemotherapy, no-cytotoxic-chemotherapy, and ICI-before-chemotherapy contexts.</w:t>
      </w:r>
    </w:p>
    <w:bookmarkEnd w:id="15"/>
    <w:bookmarkStart w:id="16" w:name="X9e051f664679161e4cd24087ef30aedc4a5fcf4"/>
    <w:p>
      <w:pPr>
        <w:pStyle w:val="Heading3"/>
      </w:pPr>
      <w:r>
        <w:t xml:space="preserve">Organ-specific strict irAE estimability audit</w:t>
      </w:r>
    </w:p>
    <w:p>
      <w:pPr>
        <w:pStyle w:val="FirstParagraph"/>
      </w:pPr>
      <w:r>
        <w:t xml:space="preserve">Twenty-three organ-by-grade strata were audited for total rows, strict irAE rows, primary-compatible rows, source blocks per lineage, source tiers, endpoint layers, and source concentration. A stratum was labelled</w:t>
      </w:r>
      <w:r>
        <w:t xml:space="preserve"> </w:t>
      </w:r>
      <w:r>
        <w:t xml:space="preserve">“not estimable”</w:t>
      </w:r>
      <w:r>
        <w:t xml:space="preserve"> </w:t>
      </w:r>
      <w:r>
        <w:t xml:space="preserve">when it lacked compatible strict irAE rows, had fewer than two independent source blocks in at least one lineage, or suffered from sparse rows, source concentration, or incompatible endpoint layers.</w:t>
      </w:r>
    </w:p>
    <w:bookmarkEnd w:id="16"/>
    <w:bookmarkStart w:id="17" w:name="openfda-pharmacovigilance-layer"/>
    <w:p>
      <w:pPr>
        <w:pStyle w:val="Heading3"/>
      </w:pPr>
      <w:r>
        <w:t xml:space="preserve">openFDA pharmacovigilance layer</w:t>
      </w:r>
    </w:p>
    <w:p>
      <w:pPr>
        <w:pStyle w:val="FirstParagraph"/>
      </w:pPr>
      <w:r>
        <w:t xml:space="preserve">The openFDA drug/event API was queried on 2026-06-28 using locked agent aliases and irAE preferred-term families (10 ICI agents, 8 reporting families). Matching was exact, with no primary-suspect restriction. 2×2 ROR with 0.5 continuity correction. No multiplicity adjustment was claimed. Cells with fewer than 30 reports were outlined in the heatmap, and low-count high-ROR cells with fewer than 100 reports were highlighted in the stability panel; these were descriptive caution flags, not exclusion rules. Report-level records were analyzed as returned by the API; no additional deduplication was performed. Prespecified as descriptive pharmacovigilance evidence, not incidence or risk estimation.</w:t>
      </w:r>
    </w:p>
    <w:bookmarkEnd w:id="17"/>
    <w:bookmarkStart w:id="18" w:name="patient-level-molecular-support"/>
    <w:p>
      <w:pPr>
        <w:pStyle w:val="Heading3"/>
      </w:pPr>
      <w:r>
        <w:t xml:space="preserve">Patient-level molecular support</w:t>
      </w:r>
    </w:p>
    <w:p>
      <w:pPr>
        <w:pStyle w:val="FirstParagraph"/>
      </w:pPr>
      <w:r>
        <w:t xml:space="preserve">GSE186144-GSE186143 melanoma PBMC cohort: severe irAE (highest grade ≥3, n = 21) versus grade 0–2 (n = 39). Eleven locked immune signatures scored as mean gene-wise z-scores. Median deltas, bootstrap CIs, Mann-Whitney P values, BH-FDR q values, and Cliff’s delta. Per-signature logistic models with a therapy indicator as confounding sensitivity analyses.</w:t>
      </w:r>
    </w:p>
    <w:bookmarkEnd w:id="18"/>
    <w:bookmarkEnd w:id="19"/>
    <w:bookmarkStart w:id="20" w:name="Xbae89bbfc15be4b1125eba0af52c463c1deb53c"/>
    <w:p>
      <w:pPr>
        <w:pStyle w:val="Heading2"/>
      </w:pPr>
      <w:r>
        <w:t xml:space="preserve">Box 1: Toxicity Phenotype Interpretation Standard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Evidence system</w:t>
            </w:r>
          </w:p>
        </w:tc>
        <w:tc>
          <w:tcPr/>
          <w:p>
            <w:pPr>
              <w:pStyle w:val="Compact"/>
            </w:pPr>
            <w:r>
              <w:t xml:space="preserve">What it measures</w:t>
            </w:r>
          </w:p>
        </w:tc>
        <w:tc>
          <w:tcPr/>
          <w:p>
            <w:pPr>
              <w:pStyle w:val="Compact"/>
            </w:pPr>
            <w:r>
              <w:t xml:space="preserve">What you can say</w:t>
            </w:r>
          </w:p>
        </w:tc>
        <w:tc>
          <w:tcPr/>
          <w:p>
            <w:pPr>
              <w:pStyle w:val="Compact"/>
            </w:pPr>
            <w:r>
              <w:t xml:space="preserve">What you cannot say</w:t>
            </w:r>
          </w:p>
        </w:tc>
      </w:tr>
      <w:tr>
        <w:tc>
          <w:tcPr/>
          <w:p>
            <w:pPr>
              <w:pStyle w:val="Compact"/>
            </w:pPr>
            <w:r>
              <w:t xml:space="preserve">Trial safety tables (TRAE)</w:t>
            </w:r>
          </w:p>
        </w:tc>
        <w:tc>
          <w:tcPr/>
          <w:p>
            <w:pPr>
              <w:pStyle w:val="Compact"/>
            </w:pPr>
            <w:r>
              <w:t xml:space="preserve">Regimen-level broad safety burden</w:t>
            </w:r>
          </w:p>
        </w:tc>
        <w:tc>
          <w:tcPr/>
          <w:p>
            <w:pPr>
              <w:pStyle w:val="Compact"/>
            </w:pPr>
            <w:r>
              <w:t xml:space="preserve">“This regimen carries X% grade ≥3 toxicity in this tumor type”</w:t>
            </w:r>
          </w:p>
        </w:tc>
        <w:tc>
          <w:tcPr/>
          <w:p>
            <w:pPr>
              <w:pStyle w:val="Compact"/>
            </w:pPr>
            <w:r>
              <w:t xml:space="preserve">“This tumor type has more/less ICI toxicity”</w:t>
            </w:r>
          </w:p>
        </w:tc>
      </w:tr>
      <w:tr>
        <w:tc>
          <w:tcPr/>
          <w:p>
            <w:pPr>
              <w:pStyle w:val="Compact"/>
            </w:pPr>
            <w:r>
              <w:t xml:space="preserve">Strict organ-specific irAE</w:t>
            </w:r>
          </w:p>
        </w:tc>
        <w:tc>
          <w:tcPr/>
          <w:p>
            <w:pPr>
              <w:pStyle w:val="Compact"/>
            </w:pPr>
            <w:r>
              <w:t xml:space="preserve">Organ-level adjudicated inflammatory toxicity</w:t>
            </w:r>
          </w:p>
        </w:tc>
        <w:tc>
          <w:tcPr/>
          <w:p>
            <w:pPr>
              <w:pStyle w:val="Compact"/>
            </w:pPr>
            <w:r>
              <w:t xml:space="preserve">“Organ-level safety signal in a single trial”</w:t>
            </w:r>
          </w:p>
        </w:tc>
        <w:tc>
          <w:tcPr/>
          <w:p>
            <w:pPr>
              <w:pStyle w:val="Compact"/>
            </w:pPr>
            <w:r>
              <w:t xml:space="preserve">“Cross-tumor organ irAE comparison”</w:t>
            </w:r>
            <w:r>
              <w:t xml:space="preserve"> </w:t>
            </w:r>
            <w:r>
              <w:t xml:space="preserve">(public data insufficient)</w:t>
            </w:r>
          </w:p>
        </w:tc>
      </w:tr>
      <w:tr>
        <w:tc>
          <w:tcPr/>
          <w:p>
            <w:pPr>
              <w:pStyle w:val="Compact"/>
            </w:pPr>
            <w:r>
              <w:t xml:space="preserve">openFDA ROR (spontaneous reports)</w:t>
            </w:r>
          </w:p>
        </w:tc>
        <w:tc>
          <w:tcPr/>
          <w:p>
            <w:pPr>
              <w:pStyle w:val="Compact"/>
            </w:pPr>
            <w:r>
              <w:t xml:space="preserve">Reporting disproportionality</w:t>
            </w:r>
          </w:p>
        </w:tc>
        <w:tc>
          <w:tcPr/>
          <w:p>
            <w:pPr>
              <w:pStyle w:val="Compact"/>
            </w:pPr>
            <w:r>
              <w:t xml:space="preserve">“Drug X is reported more/less often with event Y”</w:t>
            </w:r>
          </w:p>
        </w:tc>
        <w:tc>
          <w:tcPr/>
          <w:p>
            <w:pPr>
              <w:pStyle w:val="Compact"/>
            </w:pPr>
            <w:r>
              <w:t xml:space="preserve">Incidence, risk, comparative safety, tumor-type inference</w:t>
            </w:r>
          </w:p>
        </w:tc>
      </w:tr>
      <w:tr>
        <w:tc>
          <w:tcPr/>
          <w:p>
            <w:pPr>
              <w:pStyle w:val="Compact"/>
            </w:pPr>
            <w:r>
              <w:t xml:space="preserve">PBMC transcriptomic signatures</w:t>
            </w:r>
          </w:p>
        </w:tc>
        <w:tc>
          <w:tcPr/>
          <w:p>
            <w:pPr>
              <w:pStyle w:val="Compact"/>
            </w:pPr>
            <w:r>
              <w:t xml:space="preserve">Immune-program association with toxicity labels in one cohort</w:t>
            </w:r>
          </w:p>
        </w:tc>
        <w:tc>
          <w:tcPr/>
          <w:p>
            <w:pPr>
              <w:pStyle w:val="Compact"/>
            </w:pPr>
            <w:r>
              <w:t xml:space="preserve">“Signature Z is associated with severe irAE in this cohort”</w:t>
            </w:r>
          </w:p>
        </w:tc>
        <w:tc>
          <w:tcPr/>
          <w:p>
            <w:pPr>
              <w:pStyle w:val="Compact"/>
            </w:pPr>
            <w:r>
              <w:t xml:space="preserve">Cross-tumor biomarker validation; mechanistic proof</w:t>
            </w:r>
          </w:p>
        </w:tc>
      </w:tr>
    </w:tbl>
    <w:p>
      <w:pPr>
        <w:pStyle w:val="BodyText"/>
      </w:pPr>
      <w:r>
        <w:rPr>
          <w:b/>
          <w:bCs/>
        </w:rPr>
        <w:t xml:space="preserve">Minimum fields for valid cross-tumor comparison:</w:t>
      </w:r>
      <w:r>
        <w:t xml:space="preserve"> </w:t>
      </w:r>
      <w:r>
        <w:t xml:space="preserve">harmonized tumor type, ICI class, regimen architecture, line of therapy, organ-specific irAE adjudication by CTCAE grade, time to onset, steroid timing/dose/duration, recurrence, follow-up duration, and immune-context biomarkers. No public dataset currently contains all these fields for more than one tumor type.</w:t>
      </w:r>
    </w:p>
    <w:bookmarkEnd w:id="20"/>
    <w:bookmarkStart w:id="26" w:name="results"/>
    <w:p>
      <w:pPr>
        <w:pStyle w:val="Heading2"/>
      </w:pPr>
      <w:r>
        <w:t xml:space="preserve">Results</w:t>
      </w:r>
    </w:p>
    <w:bookmarkStart w:id="21" w:name="the-evidence-base-is-not-a-single-pool"/>
    <w:p>
      <w:pPr>
        <w:pStyle w:val="Heading3"/>
      </w:pPr>
      <w:r>
        <w:t xml:space="preserve">The evidence base is not a single pool</w:t>
      </w:r>
    </w:p>
    <w:p>
      <w:pPr>
        <w:pStyle w:val="FirstParagraph"/>
      </w:pPr>
      <w:r>
        <w:t xml:space="preserve">Of 384 source rows, 71 were primary-pooling compatible. The largest endpoint classes: strict irAE (101 rows), immune-mediated AE/imAE (71 rows), registry audit (56 rows). Only 18 rows were broad TRAE—the endpoint most often used as a comparator in cross-tumor discussions. This is not a nuisance to adjust for. It is the defining feature of the evidence base. Pooling without endpoint harmonization measures taxonomy, not biology.</w:t>
      </w:r>
    </w:p>
    <w:bookmarkEnd w:id="21"/>
    <w:bookmarkStart w:id="22" w:name="broad-trae-a-pattern-not-a-difference"/>
    <w:p>
      <w:pPr>
        <w:pStyle w:val="Heading3"/>
      </w:pPr>
      <w:r>
        <w:t xml:space="preserve">Broad TRAE: a pattern, not a difference</w:t>
      </w:r>
    </w:p>
    <w:p>
      <w:pPr>
        <w:pStyle w:val="FirstParagraph"/>
      </w:pPr>
      <w:r>
        <w:t xml:space="preserve">Broad TRAE showed lymphoma 19.1% (95% CI 6.1–46.4; PI 1.4–80.2; k = 4; I² = 95.2%) versus solid tumors 31.1% (95% CI 20.2–44.6; PI 4.7–80.5; k = 14; I² = 98.7%). Point estimates differ. Prediction intervals overlap massively. The heterogeneity is extreme. This is a sensitivity-only observation in a noisy evidence space.</w:t>
      </w:r>
    </w:p>
    <w:bookmarkEnd w:id="22"/>
    <w:bookmarkStart w:id="23" w:name="X2746729c82a7d687fea4cc8e38aea62b983ba77"/>
    <w:p>
      <w:pPr>
        <w:pStyle w:val="Heading3"/>
      </w:pPr>
      <w:r>
        <w:t xml:space="preserve">Strict organ irAE: what clinicians actually want to know is not available</w:t>
      </w:r>
    </w:p>
    <w:p>
      <w:pPr>
        <w:pStyle w:val="FirstParagraph"/>
      </w:pPr>
      <w:r>
        <w:t xml:space="preserve">The organ-specific audit identified 341 organ-level rows, 99 strict irAE rows, 53 primary-compatible. Across 23 organ-by-grade strata, eighteen were unsuitable for lineage-wide pooling; five were potentially descriptive only. Sparse rows, source concentration, and absence of comparable strict irAE data in both lineages prevented formal cross-tumor inference for the phenotype clinicians most often want to compare.</w:t>
      </w:r>
    </w:p>
    <w:bookmarkEnd w:id="23"/>
    <w:bookmarkStart w:id="24" w:name="X5e6b581e4b65b898039bd7e33bfe41452e9f46d"/>
    <w:p>
      <w:pPr>
        <w:pStyle w:val="Heading3"/>
      </w:pPr>
      <w:r>
        <w:t xml:space="preserve">openFDA cannot substitute for tumor-type-specific data</w:t>
      </w:r>
    </w:p>
    <w:p>
      <w:pPr>
        <w:pStyle w:val="FirstParagraph"/>
      </w:pPr>
      <w:r>
        <w:t xml:space="preserve">The query returned 20,328,575 reports and 80 agent-family ROR rows. Strongest signals align with known pharmacology. Low-count cells flagged. The critical point: openFDA lacks tumor-type denominators. You cannot extract</w:t>
      </w:r>
      <w:r>
        <w:t xml:space="preserve"> </w:t>
      </w:r>
      <w:r>
        <w:t xml:space="preserve">“toxicity in melanoma versus lymphoma”</w:t>
      </w:r>
      <w:r>
        <w:t xml:space="preserve"> </w:t>
      </w:r>
      <w:r>
        <w:t xml:space="preserve">from spontaneous reports. This layer detects reporting disproportionality—not tumor-type differences.</w:t>
      </w:r>
    </w:p>
    <w:bookmarkEnd w:id="24"/>
    <w:bookmarkStart w:id="25" w:name="Xd2fd685a02094f0c3c1a81f840e03b1ee3532b9"/>
    <w:p>
      <w:pPr>
        <w:pStyle w:val="Heading3"/>
      </w:pPr>
      <w:r>
        <w:t xml:space="preserve">PBMC signatures: biology, not cross-tumor evidence</w:t>
      </w:r>
    </w:p>
    <w:p>
      <w:pPr>
        <w:pStyle w:val="FirstParagraph"/>
      </w:pPr>
      <w:r>
        <w:t xml:space="preserve">Four unadjusted FDR-significant signatures (cytotoxicity q = 0.0213; M2-like myeloid/macrophage q = 0.0213; MHC-II q = 0.0213; B-cell context q = 0.0362). None remained FDR-significant after therapy adjustment (lowest q = 0.0647). Anti-PD-1 arm: 3 severe out of 29. Combination arm: 18 severe out of 31. The signal is therapy-confounded. The cohort is melanoma-only. This supports molecular phenotyping feasibility. It does not support cross-tumor comparisons.</w:t>
      </w:r>
    </w:p>
    <w:bookmarkEnd w:id="25"/>
    <w:bookmarkEnd w:id="26"/>
    <w:bookmarkStart w:id="35" w:name="discussion"/>
    <w:p>
      <w:pPr>
        <w:pStyle w:val="Heading2"/>
      </w:pPr>
      <w:r>
        <w:t xml:space="preserve">Discussion</w:t>
      </w:r>
    </w:p>
    <w:bookmarkStart w:id="27" w:name="what-this-analysis-isand-is-not"/>
    <w:p>
      <w:pPr>
        <w:pStyle w:val="Heading3"/>
      </w:pPr>
      <w:r>
        <w:t xml:space="preserve">What this analysis is—and is not</w:t>
      </w:r>
    </w:p>
    <w:p>
      <w:pPr>
        <w:pStyle w:val="FirstParagraph"/>
      </w:pPr>
      <w:r>
        <w:t xml:space="preserve">This is a pre-emptive evidence audit. It is not a conventional meta-analysis, biomarker validation study, or pharmacovigilance risk study. It asks whether four evidence types commonly used in cross-tumor ICI toxicity discussions can support the inferences often drawn from them. In the examined public evidence systems, they cannot do so without phenotype-specific qualification, because the measurements differ and the required harmonized data are incomplete.</w:t>
      </w:r>
    </w:p>
    <w:bookmarkEnd w:id="27"/>
    <w:bookmarkStart w:id="28" w:name="for-the-tumor-board-clinician"/>
    <w:p>
      <w:pPr>
        <w:pStyle w:val="Heading3"/>
      </w:pPr>
      <w:r>
        <w:t xml:space="preserve">For the tumor board clinician</w:t>
      </w:r>
    </w:p>
    <w:p>
      <w:pPr>
        <w:pStyle w:val="FirstParagraph"/>
      </w:pPr>
      <w:r>
        <w:t xml:space="preserve">The patient in front of you has a specific tumor type, a specific regimen, and a specific toxicity concern. Comparing toxicity across tumor types using published safety tables requires verifying that the endpoint class is the same in both sources. If one trial reports AEOSI and the other reports TRAE, the comparison is invalid, and the safest course is to default to the toxicity profile reported for the regimen in the patient’s own tumor type. Box 1 provides a quick reference.</w:t>
      </w:r>
    </w:p>
    <w:bookmarkEnd w:id="28"/>
    <w:bookmarkStart w:id="29" w:name="X7db12d2c16b24d292af779190adcbc9e675d40b"/>
    <w:p>
      <w:pPr>
        <w:pStyle w:val="Heading3"/>
      </w:pPr>
      <w:r>
        <w:t xml:space="preserve">For the systematic reviewer and meta-analyst</w:t>
      </w:r>
    </w:p>
    <w:p>
      <w:pPr>
        <w:pStyle w:val="FirstParagraph"/>
      </w:pPr>
      <w:r>
        <w:t xml:space="preserve">A cross-tumor ICI toxicity meta-analysis that pools all available safety rows without endpoint classification will produce an estimate that reflects the mix of endpoint classes in the literature, not a biological cross-tumor difference. The nine-class taxonomy and 71/313 primary-compatible/sensitivity split in our registry quantify this problem. Before conducting such an analysis, classify every row by endpoint class and report the endpoint composition of the pooled estimate.</w:t>
      </w:r>
    </w:p>
    <w:bookmarkEnd w:id="29"/>
    <w:bookmarkStart w:id="30" w:name="for-the-guideline-writer"/>
    <w:p>
      <w:pPr>
        <w:pStyle w:val="Heading3"/>
      </w:pPr>
      <w:r>
        <w:t xml:space="preserve">For the guideline writer</w:t>
      </w:r>
    </w:p>
    <w:p>
      <w:pPr>
        <w:pStyle w:val="FirstParagraph"/>
      </w:pPr>
      <w:r>
        <w:t xml:space="preserve">Guidelines that discuss ICI toxicity as a class effect—without distinguishing which evidence system and endpoint class support each statement—invite readers to extrapolate across tumor types in ways the underlying evidence cannot support. A guideline that says</w:t>
      </w:r>
      <w:r>
        <w:t xml:space="preserve"> </w:t>
      </w:r>
      <w:r>
        <w:t xml:space="preserve">“ICI toxicity rates range from X% to Y% across tumor types”</w:t>
      </w:r>
      <w:r>
        <w:t xml:space="preserve"> </w:t>
      </w:r>
      <w:r>
        <w:t xml:space="preserve">without specifying that the numbers come from different endpoint definitions is communicating endpoint heterogeneity as if it were biological variation.</w:t>
      </w:r>
    </w:p>
    <w:bookmarkEnd w:id="30"/>
    <w:bookmarkStart w:id="31" w:name="for-the-drug-developer"/>
    <w:p>
      <w:pPr>
        <w:pStyle w:val="Heading3"/>
      </w:pPr>
      <w:r>
        <w:t xml:space="preserve">For the drug developer</w:t>
      </w:r>
    </w:p>
    <w:p>
      <w:pPr>
        <w:pStyle w:val="FirstParagraph"/>
      </w:pPr>
      <w:r>
        <w:t xml:space="preserve">Safety benchmarking across tumor types is a standard part of regulatory preparation. If a developer uses published safety data as a comparator, every comparator row should be classified by endpoint class, tumor type, and regimen context. An unclassified cross-tumor benchmark is likely to be uninterpretable. The minimum fields listed in Box 1 define what a properly harmonized dataset would require.</w:t>
      </w:r>
    </w:p>
    <w:bookmarkEnd w:id="31"/>
    <w:bookmarkStart w:id="32" w:name="what-a-valid-comparison-requires"/>
    <w:p>
      <w:pPr>
        <w:pStyle w:val="Heading3"/>
      </w:pPr>
      <w:r>
        <w:t xml:space="preserve">What a valid comparison requires</w:t>
      </w:r>
    </w:p>
    <w:p>
      <w:pPr>
        <w:pStyle w:val="FirstParagraph"/>
      </w:pPr>
      <w:r>
        <w:t xml:space="preserve">A multi-tumor, harmonized, patient-level dataset containing: tumor type, ICI class, regimen architecture, line of therapy, organ-specific irAE adjudication by CTCAE grade, time to onset, steroid use, recurrence, minimum follow-up, and immune-context biomarkers. This dataset does not exist publicly. Until it does, cross-tumor claims should specify the evidence system and endpoint—and what that combination can and cannot answer.</w:t>
      </w:r>
    </w:p>
    <w:bookmarkEnd w:id="32"/>
    <w:bookmarkStart w:id="33" w:name="limitations"/>
    <w:p>
      <w:pPr>
        <w:pStyle w:val="Heading3"/>
      </w:pPr>
      <w:r>
        <w:t xml:space="preserve">Limitations</w:t>
      </w:r>
    </w:p>
    <w:p>
      <w:pPr>
        <w:pStyle w:val="FirstParagraph"/>
      </w:pPr>
      <w:r>
        <w:t xml:space="preserve">The audit inherits the limitations of the evidence it audits. Single-analyst extraction, open-label reporting, spontaneous-reporting biases, single-tumor molecular data, high heterogeneity, and sparse strata all limit inference. These limitations are not incidental; they define why each evidence system’s output should not be treated as definitive cross-tumor evidence.</w:t>
      </w:r>
    </w:p>
    <w:bookmarkEnd w:id="33"/>
    <w:bookmarkStart w:id="34" w:name="conclusion"/>
    <w:p>
      <w:pPr>
        <w:pStyle w:val="Heading3"/>
      </w:pPr>
      <w:r>
        <w:t xml:space="preserve">Conclusion</w:t>
      </w:r>
    </w:p>
    <w:p>
      <w:pPr>
        <w:pStyle w:val="FirstParagraph"/>
      </w:pPr>
      <w:r>
        <w:t xml:space="preserve">Four evidence systems. Four distinct phenotypes. None interchangeable. Before comparing ICI toxicity across tumor types, specify the phenotype. Verify the evidence system. Report what it can and cannot answer. Otherwise, the comparison measures the evidence system, not the biology.</w:t>
      </w:r>
    </w:p>
    <w:bookmarkEnd w:id="34"/>
    <w:bookmarkEnd w:id="35"/>
    <w:bookmarkStart w:id="36" w:name="figure-legends"/>
    <w:p>
      <w:pPr>
        <w:pStyle w:val="Heading2"/>
      </w:pPr>
      <w:r>
        <w:t xml:space="preserve">Figure Legends</w:t>
      </w:r>
    </w:p>
    <w:p>
      <w:pPr>
        <w:pStyle w:val="FirstParagraph"/>
      </w:pPr>
      <w:r>
        <w:rPr>
          <w:b/>
          <w:bCs/>
        </w:rPr>
        <w:t xml:space="preserve">Figure 1. Clinical evidence architecture for endpoint-specific ICI toxicity interpretation.</w:t>
      </w:r>
      <w:r>
        <w:t xml:space="preserve"> </w:t>
      </w:r>
      <w:r>
        <w:t xml:space="preserve">Panel A shows endpoint taxonomy counts from the locked source registry. Panel B shows broad high-grade TRAE descriptive rates by tumor lineage. Panel C shows regimen-architecture sensitivity. Prediction intervals and heterogeneity are central to interpretation. Broad TRAE reflects regimen-level safety burden, not strict inflammatory irAE.</w:t>
      </w:r>
    </w:p>
    <w:p>
      <w:pPr>
        <w:pStyle w:val="BodyText"/>
      </w:pPr>
      <w:r>
        <w:rPr>
          <w:b/>
          <w:bCs/>
        </w:rPr>
        <w:t xml:space="preserve">Figure 2. Organ-specific strict irAE estimability audit.</w:t>
      </w:r>
      <w:r>
        <w:t xml:space="preserve"> </w:t>
      </w:r>
      <w:r>
        <w:t xml:space="preserve">Organ-by-grade strata classified by pooling estimability. Most strict organ-specific irAE comparisons cannot support cross-tumor inference from current public evidence.</w:t>
      </w:r>
    </w:p>
    <w:p>
      <w:pPr>
        <w:pStyle w:val="BodyText"/>
      </w:pPr>
      <w:r>
        <w:rPr>
          <w:b/>
          <w:bCs/>
        </w:rPr>
        <w:t xml:space="preserve">Figure 3. openFDA reporting-signal heatmap (80 cells, 10 agents, 8 families).</w:t>
      </w:r>
      <w:r>
        <w:t xml:space="preserve"> </w:t>
      </w:r>
      <w:r>
        <w:t xml:space="preserve">Cell numbers: report counts. Color: log2 ROR. Heatmap outlines mark cells with fewer than 30 reports; stability-panel outlines mark high-ROR cells with fewer than 100 reports. Not incidence, risk, or adjudicated irAE rates.</w:t>
      </w:r>
    </w:p>
    <w:p>
      <w:pPr>
        <w:pStyle w:val="BodyText"/>
      </w:pPr>
      <w:r>
        <w:rPr>
          <w:b/>
          <w:bCs/>
        </w:rPr>
        <w:t xml:space="preserve">Figure S1. External melanoma PBMC molecular support.</w:t>
      </w:r>
      <w:r>
        <w:t xml:space="preserve"> </w:t>
      </w:r>
      <w:r>
        <w:t xml:space="preserve">Unadjusted FDR-significant associations with therapy-confounding boundary. Single-tumor-type; not cross-tumor biomarker validation.</w:t>
      </w:r>
    </w:p>
    <w:bookmarkEnd w:id="36"/>
    <w:bookmarkStart w:id="37" w:name="data-and-code-availability"/>
    <w:p>
      <w:pPr>
        <w:pStyle w:val="Heading2"/>
      </w:pPr>
      <w:r>
        <w:t xml:space="preserve">Data and Code Availability</w:t>
      </w:r>
    </w:p>
    <w:p>
      <w:pPr>
        <w:pStyle w:val="FirstParagraph"/>
      </w:pPr>
      <w:r>
        <w:t xml:space="preserve">Repository: https://github.com/xutaoguo55/ici-irae-phenotype-decomposition-esmo-open-v3-10</w:t>
      </w:r>
      <w:r>
        <w:t xml:space="preserve"> </w:t>
      </w:r>
      <w:r>
        <w:t xml:space="preserve">Release v3.10: https://github.com/xutaoguo55/ici-irae-phenotype-decomposition-esmo-open-v3-10/releases/tag/v3.10</w:t>
      </w:r>
      <w:r>
        <w:t xml:space="preserve"> </w:t>
      </w:r>
      <w:r>
        <w:t xml:space="preserve">DOI: 10.5281/zenodo.20989074</w:t>
      </w:r>
    </w:p>
    <w:bookmarkEnd w:id="37"/>
    <w:bookmarkStart w:id="38" w:name="ethics-and-reporting"/>
    <w:p>
      <w:pPr>
        <w:pStyle w:val="Heading2"/>
      </w:pPr>
      <w:r>
        <w:t xml:space="preserve">Ethics and Reporting</w:t>
      </w:r>
    </w:p>
    <w:p>
      <w:pPr>
        <w:pStyle w:val="FirstParagraph"/>
      </w:pPr>
      <w:r>
        <w:t xml:space="preserve">IRB exemption confirmed by Nanfang Hospital, Southern Medical University. Public aggregate and de-identified data only.</w:t>
      </w:r>
    </w:p>
    <w:bookmarkEnd w:id="38"/>
    <w:bookmarkStart w:id="39" w:name="competing-interests"/>
    <w:p>
      <w:pPr>
        <w:pStyle w:val="Heading2"/>
      </w:pPr>
      <w:r>
        <w:t xml:space="preserve">Competing Interests</w:t>
      </w:r>
    </w:p>
    <w:p>
      <w:pPr>
        <w:pStyle w:val="FirstParagraph"/>
      </w:pPr>
      <w:r>
        <w:t xml:space="preserve">None related to this work. X.G.: honoraria for unrelated educational lectures.</w:t>
      </w:r>
    </w:p>
    <w:bookmarkEnd w:id="39"/>
    <w:bookmarkStart w:id="40" w:name="funding"/>
    <w:p>
      <w:pPr>
        <w:pStyle w:val="Heading2"/>
      </w:pPr>
      <w:r>
        <w:t xml:space="preserve">Funding</w:t>
      </w:r>
    </w:p>
    <w:p>
      <w:pPr>
        <w:pStyle w:val="FirstParagraph"/>
      </w:pPr>
      <w:r>
        <w:t xml:space="preserve">Institutional support: Clinical Medical Research Center of Hematological Diseases of Guangdong Province (no grant number).</w:t>
      </w:r>
    </w:p>
    <w:bookmarkEnd w:id="40"/>
    <w:bookmarkStart w:id="41" w:name="author-contributions"/>
    <w:p>
      <w:pPr>
        <w:pStyle w:val="Heading2"/>
      </w:pPr>
      <w:r>
        <w:t xml:space="preserve">Author Contributions</w:t>
      </w:r>
    </w:p>
    <w:p>
      <w:pPr>
        <w:pStyle w:val="FirstParagraph"/>
      </w:pPr>
      <w:r>
        <w:t xml:space="preserve">Conceptualization, methodology, writing: X.G., J.H. Data curation, formal analysis: J.H., X.W., H.Z. Investigation: J.H., X.W., H.Z., Q.W., Y.W., R.F. Review &amp; editing: all authors. Guarantor: X.G.</w:t>
      </w:r>
    </w:p>
    <w:bookmarkEnd w:id="41"/>
    <w:bookmarkStart w:id="42" w:name="word-count"/>
    <w:p>
      <w:pPr>
        <w:pStyle w:val="Heading2"/>
      </w:pPr>
      <w:r>
        <w:t xml:space="preserve">Word Count</w:t>
      </w:r>
    </w:p>
    <w:p>
      <w:pPr>
        <w:pStyle w:val="FirstParagraph"/>
      </w:pPr>
      <w:r>
        <w:t xml:space="preserve">Abstract: 251 words. Main text: approximately 3,500 words.</w:t>
      </w:r>
    </w:p>
    <w:bookmarkEnd w:id="42"/>
    <w:bookmarkStart w:id="43" w:name="references"/>
    <w:p>
      <w:pPr>
        <w:pStyle w:val="Heading2"/>
      </w:pPr>
      <w:r>
        <w:t xml:space="preserve">References</w:t>
      </w:r>
    </w:p>
    <w:p>
      <w:pPr>
        <w:pStyle w:val="Compact"/>
        <w:numPr>
          <w:ilvl w:val="0"/>
          <w:numId w:val="1002"/>
        </w:numPr>
      </w:pPr>
      <w:r>
        <w:t xml:space="preserve">Borghaei H et al. Nivolumab versus Docetaxel in Advanced Nonsquamous NSCLC. N Engl J Med. 2015;373:1627-1639. doi:10.1056/nejmoa1507643</w:t>
      </w:r>
    </w:p>
    <w:p>
      <w:pPr>
        <w:pStyle w:val="Compact"/>
        <w:numPr>
          <w:ilvl w:val="0"/>
          <w:numId w:val="1002"/>
        </w:numPr>
      </w:pPr>
      <w:r>
        <w:t xml:space="preserve">Brahmer J et al. Nivolumab versus Docetaxel in Advanced Squamous-Cell NSCLC. N Engl J Med. 2015;373:123-135. doi:10.1056/nejmoa1504627</w:t>
      </w:r>
    </w:p>
    <w:p>
      <w:pPr>
        <w:pStyle w:val="Compact"/>
        <w:numPr>
          <w:ilvl w:val="0"/>
          <w:numId w:val="1002"/>
        </w:numPr>
      </w:pPr>
      <w:r>
        <w:t xml:space="preserve">Larkin J et al. Combined Nivolumab and Ipilimumab or Monotherapy in Untreated Melanoma. N Engl J Med. 2015;373:23-34. doi:10.1056/nejmoa1504030</w:t>
      </w:r>
    </w:p>
    <w:p>
      <w:pPr>
        <w:pStyle w:val="Compact"/>
        <w:numPr>
          <w:ilvl w:val="0"/>
          <w:numId w:val="1002"/>
        </w:numPr>
      </w:pPr>
      <w:r>
        <w:t xml:space="preserve">Robert C et al. Pembrolizumab versus Ipilimumab in Advanced Melanoma. N Engl J Med. 2015;372:2521-2532. doi:10.1056/nejmoa1503093</w:t>
      </w:r>
    </w:p>
    <w:p>
      <w:pPr>
        <w:pStyle w:val="Compact"/>
        <w:numPr>
          <w:ilvl w:val="0"/>
          <w:numId w:val="1002"/>
        </w:numPr>
      </w:pPr>
      <w:r>
        <w:t xml:space="preserve">Reck M et al. Pembrolizumab versus Chemotherapy for PD-L1-Positive NSCLC. N Engl J Med. 2016;375:1823-1833. doi:10.1056/nejmoa1606774</w:t>
      </w:r>
    </w:p>
    <w:p>
      <w:pPr>
        <w:pStyle w:val="Compact"/>
        <w:numPr>
          <w:ilvl w:val="0"/>
          <w:numId w:val="1002"/>
        </w:numPr>
      </w:pPr>
      <w:r>
        <w:t xml:space="preserve">Antonia SJ et al. Durvalumab after Chemoradiotherapy in Stage III NSCLC. N Engl J Med. 2017;377:1919-1929. doi:10.1056/nejmoa1709937</w:t>
      </w:r>
    </w:p>
    <w:p>
      <w:pPr>
        <w:pStyle w:val="Compact"/>
        <w:numPr>
          <w:ilvl w:val="0"/>
          <w:numId w:val="1002"/>
        </w:numPr>
      </w:pPr>
      <w:r>
        <w:t xml:space="preserve">Gandhi L et al. Pembrolizumab plus Chemotherapy in Metastatic NSCLC. N Engl J Med. 2018;378:2078-2092. doi:10.1056/nejmoa1801005</w:t>
      </w:r>
    </w:p>
    <w:p>
      <w:pPr>
        <w:pStyle w:val="Compact"/>
        <w:numPr>
          <w:ilvl w:val="0"/>
          <w:numId w:val="1002"/>
        </w:numPr>
      </w:pPr>
      <w:r>
        <w:t xml:space="preserve">Motzer RJ et al. Nivolumab plus Ipilimumab versus Sunitinib in Advanced RCC. N Engl J Med. 2018;378:1277-1290. doi:10.1056/nejmoa1712126</w:t>
      </w:r>
    </w:p>
    <w:p>
      <w:pPr>
        <w:pStyle w:val="Compact"/>
        <w:numPr>
          <w:ilvl w:val="0"/>
          <w:numId w:val="1002"/>
        </w:numPr>
      </w:pPr>
      <w:r>
        <w:t xml:space="preserve">Paz-Ares L et al. Pembrolizumab plus Chemotherapy for Squamous NSCLC. N Engl J Med. 2018;379:2040-2051. doi:10.1056/nejmoa1810865</w:t>
      </w:r>
    </w:p>
    <w:p>
      <w:pPr>
        <w:pStyle w:val="Compact"/>
        <w:numPr>
          <w:ilvl w:val="0"/>
          <w:numId w:val="1002"/>
        </w:numPr>
      </w:pPr>
      <w:r>
        <w:t xml:space="preserve">Ramchandren R et al. Nivolumab for Newly Diagnosed Advanced-Stage cHL. J Clin Oncol. 2019;37:1997-2007. doi:10.1200/jco.19.00315</w:t>
      </w:r>
    </w:p>
    <w:p>
      <w:pPr>
        <w:pStyle w:val="Compact"/>
        <w:numPr>
          <w:ilvl w:val="0"/>
          <w:numId w:val="1002"/>
        </w:numPr>
      </w:pPr>
      <w:r>
        <w:t xml:space="preserve">Rini BI et al. Pembrolizumab plus Axitinib versus Sunitinib for Advanced RCC. N Engl J Med. 2019;380:1116-1127. doi:10.1056/nejmoa1816714</w:t>
      </w:r>
    </w:p>
    <w:p>
      <w:pPr>
        <w:pStyle w:val="Compact"/>
        <w:numPr>
          <w:ilvl w:val="0"/>
          <w:numId w:val="1002"/>
        </w:numPr>
      </w:pPr>
      <w:r>
        <w:t xml:space="preserve">Finn RS et al. Atezolizumab plus Bevacizumab in Unresectable HCC. N Engl J Med. 2020;382:1894-1905. doi:10.1056/nejmoa1915745</w:t>
      </w:r>
    </w:p>
    <w:p>
      <w:pPr>
        <w:pStyle w:val="Compact"/>
        <w:numPr>
          <w:ilvl w:val="0"/>
          <w:numId w:val="1002"/>
        </w:numPr>
      </w:pPr>
      <w:r>
        <w:t xml:space="preserve">Powles T et al. Avelumab Maintenance for Advanced Urothelial Carcinoma. N Engl J Med. 2020;383:1218-1230. doi:10.1056/nejmoa2002788</w:t>
      </w:r>
    </w:p>
    <w:p>
      <w:pPr>
        <w:pStyle w:val="Compact"/>
        <w:numPr>
          <w:ilvl w:val="0"/>
          <w:numId w:val="1002"/>
        </w:numPr>
      </w:pPr>
      <w:r>
        <w:t xml:space="preserve">Schmid P et al. Pembrolizumab for Early Triple-Negative Breast Cancer. N Engl J Med. 2020;382:810-821. doi:10.1056/nejmoa1910549</w:t>
      </w:r>
    </w:p>
    <w:p>
      <w:pPr>
        <w:pStyle w:val="Compact"/>
        <w:numPr>
          <w:ilvl w:val="0"/>
          <w:numId w:val="1002"/>
        </w:numPr>
      </w:pPr>
      <w:r>
        <w:t xml:space="preserve">Allen PB et al. Pembrolizumab followed by AVD in cHL. Blood. 2021;137:1318-1326. doi:10.1182/blood.2020007400</w:t>
      </w:r>
    </w:p>
    <w:p>
      <w:pPr>
        <w:pStyle w:val="Compact"/>
        <w:numPr>
          <w:ilvl w:val="0"/>
          <w:numId w:val="1002"/>
        </w:numPr>
      </w:pPr>
      <w:r>
        <w:t xml:space="preserve">Choueiri TK et al. Adjuvant Pembrolizumab after Nephrectomy in RCC. N Engl J Med. 2021;385:683-694. doi:10.1056/nejmoa2106391</w:t>
      </w:r>
    </w:p>
    <w:p>
      <w:pPr>
        <w:pStyle w:val="Compact"/>
        <w:numPr>
          <w:ilvl w:val="0"/>
          <w:numId w:val="1002"/>
        </w:numPr>
      </w:pPr>
      <w:r>
        <w:t xml:space="preserve">Janjigian YY et al. First-line nivolumab plus chemo in gastric/GEJ/esophageal cancer (CheckMate 649). Lancet. 2021;398:27-40. doi:10.1016/S0140-6736(21)00797-2</w:t>
      </w:r>
    </w:p>
    <w:p>
      <w:pPr>
        <w:pStyle w:val="Compact"/>
        <w:numPr>
          <w:ilvl w:val="0"/>
          <w:numId w:val="1002"/>
        </w:numPr>
      </w:pPr>
      <w:r>
        <w:t xml:space="preserve">Kuruvilla J et al. Pembrolizumab vs brentuximab vedotin in R/R cHL (KEYNOTE-204). Lancet Oncol. 2021;22:512-524. doi:10.1016/S1470-2045(21)00005-X</w:t>
      </w:r>
    </w:p>
    <w:p>
      <w:pPr>
        <w:pStyle w:val="Compact"/>
        <w:numPr>
          <w:ilvl w:val="0"/>
          <w:numId w:val="1002"/>
        </w:numPr>
      </w:pPr>
      <w:r>
        <w:t xml:space="preserve">Moskowitz AJ et al. Pembrolizumab plus GVD in R/R cHL. J Clin Oncol. 2021;39:3109-3117. doi:10.1200/jco.21.01056</w:t>
      </w:r>
    </w:p>
    <w:p>
      <w:pPr>
        <w:pStyle w:val="Compact"/>
        <w:numPr>
          <w:ilvl w:val="0"/>
          <w:numId w:val="1002"/>
        </w:numPr>
      </w:pPr>
      <w:r>
        <w:t xml:space="preserve">Paz-Ares L et al. Nivolumab plus ipilimumab plus chemo in NSCLC (CheckMate 9LA). Lancet Oncol. 2021;22:198-211. doi:10.1016/S1470-2045(20)30641-0</w:t>
      </w:r>
    </w:p>
    <w:p>
      <w:pPr>
        <w:pStyle w:val="Compact"/>
        <w:numPr>
          <w:ilvl w:val="0"/>
          <w:numId w:val="1002"/>
        </w:numPr>
      </w:pPr>
      <w:r>
        <w:t xml:space="preserve">Satouchi M et al. Pembrolizumab vs chemo in metastatic NSCLC: KEYNOTE-024 Japan subset. Cancer Sci. 2021;112:5000-5010. doi:10.1111/cas.15144</w:t>
      </w:r>
    </w:p>
    <w:p>
      <w:pPr>
        <w:pStyle w:val="Compact"/>
        <w:numPr>
          <w:ilvl w:val="0"/>
          <w:numId w:val="1002"/>
        </w:numPr>
      </w:pPr>
      <w:r>
        <w:t xml:space="preserve">Sezer A et al. Cemiplimab for first-line NSCLC with PD-L1 ≥50%. Lancet. 2021;397:592-604. doi:10.1016/S0140-6736(21)00228-2</w:t>
      </w:r>
    </w:p>
    <w:p>
      <w:pPr>
        <w:pStyle w:val="Compact"/>
        <w:numPr>
          <w:ilvl w:val="0"/>
          <w:numId w:val="1002"/>
        </w:numPr>
      </w:pPr>
      <w:r>
        <w:t xml:space="preserve">Sun JM et al. Pembrolizumab plus chemo in esophageal cancer (KEYNOTE-590). Lancet. 2021;398:759-771. doi:10.1016/S0140-6736(21)01234-4</w:t>
      </w:r>
    </w:p>
    <w:p>
      <w:pPr>
        <w:pStyle w:val="Compact"/>
        <w:numPr>
          <w:ilvl w:val="0"/>
          <w:numId w:val="1002"/>
        </w:numPr>
      </w:pPr>
      <w:r>
        <w:t xml:space="preserve">Forde PM et al. Neoadjuvant Nivolumab plus Chemo in Resectable NSCLC. N Engl J Med. 2022;386:1973-1985. doi:10.1056/nejmoa2202170</w:t>
      </w:r>
    </w:p>
    <w:p>
      <w:pPr>
        <w:pStyle w:val="Compact"/>
        <w:numPr>
          <w:ilvl w:val="0"/>
          <w:numId w:val="1002"/>
        </w:numPr>
      </w:pPr>
      <w:r>
        <w:t xml:space="preserve">Gogishvili M et al. Cemiplimab plus chemo in NSCLC (EMPOWER-Lung 3). Nat Med. 2022;28:2374-2380. doi:10.1038/s41591-022-01977-y</w:t>
      </w:r>
    </w:p>
    <w:p>
      <w:pPr>
        <w:pStyle w:val="Compact"/>
        <w:numPr>
          <w:ilvl w:val="0"/>
          <w:numId w:val="1002"/>
        </w:numPr>
      </w:pPr>
      <w:r>
        <w:t xml:space="preserve">Makker V et al. Lenvatinib plus Pembrolizumab for Advanced Endometrial Cancer. N Engl J Med. 2022;386:437-448. doi:10.1056/nejmoa2108330</w:t>
      </w:r>
    </w:p>
    <w:p>
      <w:pPr>
        <w:pStyle w:val="Compact"/>
        <w:numPr>
          <w:ilvl w:val="0"/>
          <w:numId w:val="1002"/>
        </w:numPr>
      </w:pPr>
      <w:r>
        <w:t xml:space="preserve">Mei MG et al. Response-adapted anti-PD-1 salvage for HL. Blood. 2022;139:3605-3616. doi:10.1182/blood.2022015423</w:t>
      </w:r>
    </w:p>
    <w:p>
      <w:pPr>
        <w:pStyle w:val="Compact"/>
        <w:numPr>
          <w:ilvl w:val="0"/>
          <w:numId w:val="1002"/>
        </w:numPr>
      </w:pPr>
      <w:r>
        <w:t xml:space="preserve">Naidoo J et al. PACIFIC imAE post-hoc analysis. Lung Cancer. 2022;166:84-93. doi:10.1016/j.lungcan.2022.02.003</w:t>
      </w:r>
    </w:p>
    <w:p>
      <w:pPr>
        <w:pStyle w:val="Compact"/>
        <w:numPr>
          <w:ilvl w:val="0"/>
          <w:numId w:val="1002"/>
        </w:numPr>
      </w:pPr>
      <w:r>
        <w:t xml:space="preserve">Armand P et al. KEYNOTE-087 5-year follow-up. Blood. 2023;142:878-886. doi:10.1182/blood.2022019386</w:t>
      </w:r>
    </w:p>
    <w:p>
      <w:pPr>
        <w:pStyle w:val="Compact"/>
        <w:numPr>
          <w:ilvl w:val="0"/>
          <w:numId w:val="1002"/>
        </w:numPr>
      </w:pPr>
      <w:r>
        <w:t xml:space="preserve">Garassino MC et al. KEYNOTE-189 5-year outcomes. J Clin Oncol. 2023;41:1992-1998. doi:10.1200/jco.22.01989</w:t>
      </w:r>
    </w:p>
    <w:p>
      <w:pPr>
        <w:pStyle w:val="Compact"/>
        <w:numPr>
          <w:ilvl w:val="0"/>
          <w:numId w:val="1002"/>
        </w:numPr>
      </w:pPr>
      <w:r>
        <w:t xml:space="preserve">Novello S et al. KEYNOTE-407 5-year update. J Clin Oncol. 2023;41:1999-2006. doi:10.1200/jco.22.01990</w:t>
      </w:r>
    </w:p>
    <w:p>
      <w:pPr>
        <w:pStyle w:val="Compact"/>
        <w:numPr>
          <w:ilvl w:val="0"/>
          <w:numId w:val="1002"/>
        </w:numPr>
      </w:pPr>
      <w:r>
        <w:t xml:space="preserve">Zinzani PL et al. KEYNOTE-170 final analysis. Blood. 2023;142:141-145. doi:10.1182/blood.2022019340</w:t>
      </w:r>
    </w:p>
    <w:p>
      <w:pPr>
        <w:pStyle w:val="Compact"/>
        <w:numPr>
          <w:ilvl w:val="0"/>
          <w:numId w:val="1002"/>
        </w:numPr>
      </w:pPr>
      <w:r>
        <w:t xml:space="preserve">Park SH et al. KEYNOTE-564 East Asian subgroup. Cancer Res Treat. 2026;58:613-621. Epub 2025 Jun 26. doi:10.4143/crt.2025.365</w:t>
      </w:r>
    </w:p>
    <w:p>
      <w:pPr>
        <w:pStyle w:val="Compact"/>
        <w:numPr>
          <w:ilvl w:val="0"/>
          <w:numId w:val="1002"/>
        </w:numPr>
      </w:pPr>
      <w:r>
        <w:t xml:space="preserve">Lozano AX et al. T cell characteristics and ICI toxicity in melanoma. Nat Med. 2022;28:353-362. doi:10.1038/s41591-021-01623-z</w:t>
      </w:r>
    </w:p>
    <w:p>
      <w:pPr>
        <w:pStyle w:val="Compact"/>
        <w:numPr>
          <w:ilvl w:val="0"/>
          <w:numId w:val="1002"/>
        </w:numPr>
      </w:pPr>
      <w:r>
        <w:t xml:space="preserve">Haanen J et al. ESMO Clinical Practice Guideline: immunotherapy toxicity. Ann Oncol. 2022;33:1217-1238. doi:10.1016/j.annonc.2022.10.001</w:t>
      </w:r>
    </w:p>
    <w:p>
      <w:pPr>
        <w:pStyle w:val="Compact"/>
        <w:numPr>
          <w:ilvl w:val="0"/>
          <w:numId w:val="1002"/>
        </w:numPr>
      </w:pPr>
      <w:r>
        <w:t xml:space="preserve">Schneider BJ et al. ASCO Guideline: irAE management. J Clin Oncol. 2021;39:4073-4126. doi:10.1200/JCO.21.01440</w:t>
      </w:r>
    </w:p>
    <w:p>
      <w:pPr>
        <w:pStyle w:val="Compact"/>
        <w:numPr>
          <w:ilvl w:val="0"/>
          <w:numId w:val="1002"/>
        </w:numPr>
      </w:pPr>
      <w:r>
        <w:t xml:space="preserve">Brahmer JR et al. SITC guideline: ICI-related adverse events. J Immunother Cancer. 2021;9:e002435. doi:10.1136/jitc-2021-002435</w:t>
      </w:r>
    </w:p>
    <w:p>
      <w:pPr>
        <w:pStyle w:val="Compact"/>
        <w:numPr>
          <w:ilvl w:val="0"/>
          <w:numId w:val="1002"/>
        </w:numPr>
      </w:pPr>
      <w:r>
        <w:t xml:space="preserve">U.S. FDA. openFDA Drug Event API. https://open.fda.gov/apis/drug/event/. Accessed 28 Jun 2026.</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2026-06-29T22:45:25Z</dcterms:created>
  <dcterms:modified xsi:type="dcterms:W3CDTF">2026-06-29T22:45:25Z</dcterms:modified>
</cp:coreProperties>
</file>

<file path=docProps/custom.xml><?xml version="1.0" encoding="utf-8"?>
<Properties xmlns="http://schemas.openxmlformats.org/officeDocument/2006/custom-properties" xmlns:vt="http://schemas.openxmlformats.org/officeDocument/2006/docPropsVTypes"/>
</file>