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Immune Checkpoint Inhibitor Toxicity Comparisons Across Tumor Types Require Endpoint-Defined Evidence Decomposition</w:t>
      </w:r>
    </w:p>
    <w:p>
      <w:pPr/>
      <w:r>
        <w:t>Short title: ICI toxicity comparisons require phenotype decomposition</w:t>
      </w:r>
    </w:p>
    <w:p/>
    <w:p>
      <w:r>
        <w:t>Junwei Huang†, Xiaolei Wei†, Haiqing Zheng†, Qi Wei, Yongqiang Wei, Ru Feng, Xutao Guo*</w:t>
      </w:r>
    </w:p>
    <w:p/>
    <w:p>
      <w:r>
        <w:t>1 Department of Hematology, Nanfang Hospital, Southern Medical University, Guangzhou, China</w:t>
      </w:r>
    </w:p>
    <w:p>
      <w:r>
        <w:t>2 Department of Nosocomial Infection Management, Nanfang Hospital, Southern Medical University, Guangzhou, China</w:t>
      </w:r>
    </w:p>
    <w:p>
      <w:r>
        <w:t>3 Clinical Medical Research Center of Hematological Diseases of Guangdong Province, Guangzhou, China</w:t>
      </w:r>
    </w:p>
    <w:p/>
    <w:p>
      <w:r>
        <w:t>† These authors contributed equally to this work.</w:t>
      </w:r>
    </w:p>
    <w:p>
      <w:r>
        <w:t>* Correspondence: Xutao Guo, guoxutao@smu.edu.cn</w:t>
      </w:r>
    </w:p>
    <w:p>
      <w:pPr>
        <w:pStyle w:val="Heading2"/>
      </w:pPr>
      <w:r>
        <w:t>Abstract</w:t>
      </w:r>
    </w:p>
    <w:p>
      <w:r>
        <w:t>Background: Immune checkpoint inhibitor (ICI) toxicity is increasingly compared across tumor types to guide treatment selection, patient counseling and trial design, yet these comparisons rarely specify which toxicity endpoint is being measured. Methods: Using lymphoma versus solid-tumor ICI safety as a clinical stress test, we combined four evidence layers that capture fundamentally different toxicity phenotypes: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 Results: The registry contained 384 endpoint-labelled rows across 36 study/source blocks; only 71 were endpoint-compatible for primary pooling. Broad high-grade treatment-related adverse events showed a visible but heterogeneous safety-burden pattern: lymphoma 19.1% (95% CI 6.1–46.4; prediction interval 1.4–80.2; k=4) versus solid tumors 31.1% (95% CI 20.2–44.6; prediction interval 4.7–80.5; k=14). Strict organ-specific irAE inference was mostly not estimable, with 18 of 23 organ-by-grade strata unsuitable for lineage-wide pooling. An openFDA exact-match pharmacovigilance layer generated 80 agent-by-event-family reporting-signal rows and confirmed that spontaneous-reporting signals identify a different phenotype than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a combination-therapy indicator. Conclusions: Cross-tumor ICI toxicity comparisons are only interpretable when the toxicity phenotype and evidence system are specified. Broad high-grade safety burden, strict organ-specific inflammatory irAE, pharmacovigilance reporting signals and patient-level immune correlates measure different constructs and cannot be used interchangeably to support cross-tumor inference.</w:t>
      </w:r>
    </w:p>
    <w:p>
      <w:pPr>
        <w:pStyle w:val="Heading2"/>
      </w:pPr>
      <w:r>
        <w:t>Introduction</w:t>
      </w:r>
    </w:p>
    <w:p>
      <w:r>
        <w:t>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ICI toxicity differs across tumor types hides a measurement problem that extends beyond any single tumor-type comparison.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 Comparing ICI toxicity across tumor types without specifying which endpoint is being compared risks answering an undefined question.</w:t>
      </w:r>
    </w:p>
    <w:p>
      <w:r>
        <w:t>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 When these phenotype classes are pooled into a single "toxicity" outcome, the resulting estimate may reflect endpoint heterogeneity rather than any underlying biological difference between tumor types.</w:t>
      </w:r>
    </w:p>
    <w:p>
      <w:r>
        <w:t>The lymphoma-versus-solid tumor comparison is a useful clinical stress test of this general problem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If the cross-tumor comparison breaks down even in this relatively well-characterized setting, the problem is likely to affect other cross-tumor ICI safety comparisons as well.</w:t>
      </w:r>
    </w:p>
    <w:p>
      <w:r>
        <w:t>We used the lymphoma-versus-solid tumor comparison as a test case to develop a general approach: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phenotypes—and to generalize the implications for all cross-tumor ICI safety comparisons. This positions the study as a secondary translational evidence analysis rather than a traditional meta-analysis, pure bioinformatics paper or narrative review.</w:t>
      </w:r>
    </w:p>
    <w:p>
      <w:pPr>
        <w:pStyle w:val="Heading2"/>
      </w:pPr>
      <w:r>
        <w:t>Methods</w:t>
      </w:r>
    </w:p>
    <w:p>
      <w:pPr>
        <w:pStyle w:val="Heading3"/>
      </w:pPr>
      <w:r>
        <w:t>Study design and evidence layers</w:t>
      </w:r>
    </w:p>
    <w:p>
      <w:r>
        <w:t>We performed an endpoint-stratified translational evidence analysis using locked source files and public data. The study had four layers that correspond to different commonly used evidence types in cross-tumor ICI safety discussions.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p>
      <w:pPr>
        <w:pStyle w:val="Heading3"/>
      </w:pPr>
      <w:r>
        <w:t>Source identification, screening and extraction</w:t>
      </w:r>
    </w:p>
    <w:p>
      <w:r>
        <w:t>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The registry was not intended to exhaust every ICI trial ever published, but to capture source blocks relevant to the prespecified lymphoma-versus-solid tumor stress test and toxicity phenotype layers.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Extraction was performed by one analyst using locked row-level files and computational audits; the absence of independent dual extraction is a limitation of the current package.</w:t>
      </w:r>
    </w:p>
    <w:p>
      <w:pPr>
        <w:pStyle w:val="Heading3"/>
      </w:pPr>
      <w:r>
        <w:t>Aggregate source registry</w:t>
      </w:r>
    </w:p>
    <w:p>
      <w:r>
        <w:t>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p>
      <w:pPr>
        <w:pStyle w:val="Heading3"/>
      </w:pPr>
      <w:r>
        <w:t>Endpoint taxonomy and pooling eligibility</w:t>
      </w:r>
    </w:p>
    <w:p>
      <w:r>
        <w:t>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p>
      <w:pPr>
        <w:pStyle w:val="Heading3"/>
      </w:pPr>
      <w:r>
        <w:t>Clinical synthesis and architecture sensitivity</w:t>
      </w:r>
    </w:p>
    <w:p>
      <w:r>
        <w:t>Endpoint-compatible pooled estimates used random-effects meta-analysis with restricted maximum likelihood (REML) estimation.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p>
      <w:pPr>
        <w:pStyle w:val="Heading3"/>
      </w:pPr>
      <w:r>
        <w:t>Organ-specific strict irAE estimability audit</w:t>
      </w:r>
    </w:p>
    <w:p>
      <w:r>
        <w:t>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 The results of this audit carry implications beyond lymphoma: if strict organ-specific irAE comparisons cannot be made even in this extensively studied tumor-type pair, the same problem is likely to affect other cross-tumor comparisons.</w:t>
      </w:r>
    </w:p>
    <w:p>
      <w:pPr>
        <w:pStyle w:val="Heading3"/>
      </w:pPr>
      <w:r>
        <w:t>openFDA pharmacovigilance reporting-signal layer</w:t>
      </w:r>
    </w:p>
    <w:p>
      <w:r>
        <w:t>We queried the public openFDA drug/event API [38] on 2026-06-28 as an external pharmacovigilance sensitivity layer. The analysis used locked agent aliases from data/faers_ici_aliases_v3_7.csv and locked irAE reporting-family preferred-term sets from data/faers_irae_pt_families_v3_7.csv. These files defined 10 marketed ICI agents and 8 prespecified reporting families chosen to cover the agents and event families represented in the project scope. Matching was exact on patient.drug.medicinalproduct.exact and patient.reaction.reactionmeddrapt.exact. No restriction to primary-suspect or suspect-drug role was applied; therefore, the openFDA layer captures drug/event co-reporting rather than adjudicated drug attribution.</w:t>
      </w:r>
    </w:p>
    <w:p>
      <w:r>
        <w:t>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No minimum report-count threshold was applied; cells with fewer than 10 reports are flagged as unstable in the output table. We analyzed report-level records returned by the openFDA API as queried. No additional case-version deduplication was performed beyond the API-returned structure.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 Pharmacovigilance reporting patterns are not designed to support cross-tumor comparisons.</w:t>
      </w:r>
    </w:p>
    <w:p>
      <w:pPr>
        <w:pStyle w:val="Heading3"/>
      </w:pPr>
      <w:r>
        <w:t>Patient-level irAE-linked transcriptomic molecular support</w:t>
      </w:r>
    </w:p>
    <w:p>
      <w:r>
        <w:t>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p>
      <w:pPr>
        <w:pStyle w:val="Heading3"/>
      </w:pPr>
      <w:r>
        <w:t>Interpretation standard</w:t>
      </w:r>
    </w:p>
    <w:p>
      <w:r>
        <w:t>We replaced internal claim-gate language with a toxicity phenotype interpretation standard applicable to any cross-tumor ICI safety comparison.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p>
      <w:pPr>
        <w:pStyle w:val="Heading2"/>
      </w:pPr>
      <w:r>
        <w:t>Results</w:t>
      </w:r>
    </w:p>
    <w:p>
      <w:pPr>
        <w:pStyle w:val="Heading3"/>
      </w:pPr>
      <w:r>
        <w:t>Public aggregate evidence separated into endpoint-defined toxicity phenotypes</w:t>
      </w:r>
    </w:p>
    <w:p>
      <w:r>
        <w:t>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comparison across tumor types. Instead, the registry defines a phenotype map in which each endpoint class answers a different clinical question. This finding is not specific to lymphoma-versus-solid tumor comparisons; it applies to any attempt to pool ICI safety data without endpoint harmonization.</w:t>
      </w:r>
    </w:p>
    <w:p>
      <w:pPr>
        <w:pStyle w:val="Heading3"/>
      </w:pPr>
      <w:r>
        <w:t>Broad high-grade treatment-related toxicity showed a visible but heterogeneous pattern</w:t>
      </w:r>
    </w:p>
    <w:p>
      <w:r>
        <w:t>The broad high-grade treatment-related AE phenotype showed a visible safety-burden pattern but not a stable cross-tumor difference. Lymphoma arms had a pooled rate of 19.1% (95% CI 6.1–46.4; prediction interval 1.4–80.2; k=4; events=75/N=462; I²=95.2%). Solid-tumor arms had a pooled rate of 31.1% (95% CI 20.2–44.6; prediction interval 4.7–80.5; k=14; events=2237/N=5130; I²=98.7%). This pattern is clinically interpretable as a broad high-grade safety-burden observation, but not as a strict inflammatory irAE contrast or a stable cross-tumor difference. The wide, overlapping prediction intervals and high heterogeneity are central to the interpretation.</w:t>
      </w:r>
    </w:p>
    <w:p>
      <w:pPr>
        <w:pStyle w:val="Heading3"/>
      </w:pPr>
      <w:r>
        <w:t>Strict organ-specific irAE comparison was mostly a negative estimability result</w:t>
      </w:r>
    </w:p>
    <w:p>
      <w:r>
        <w:t>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beyond the lymphoma-solid comparison: it demonstrates that the specific phenotype clinicians may care about most—organ-level inflammatory irAE—is usually not estimable from public aggregate evidence, making reliable cross-tumor comparison impossible for this phenotype class.</w:t>
      </w:r>
    </w:p>
    <w:p>
      <w:pPr>
        <w:pStyle w:val="Heading3"/>
      </w:pPr>
      <w:r>
        <w:t>Regimen architecture defined a separate broad-toxicity phenotype</w:t>
      </w:r>
    </w:p>
    <w:p>
      <w:r>
        <w:t>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These architecture-associated differences could dominate any apparent cross-tumor comparison if treatment context is not accounted for.</w:t>
      </w:r>
    </w:p>
    <w:p>
      <w:pPr>
        <w:pStyle w:val="Heading3"/>
      </w:pPr>
      <w:r>
        <w:t>openFDA separated pharmacovigilance reporting signals from clinical endpoints</w:t>
      </w:r>
    </w:p>
    <w:p>
      <w:r>
        <w:t>The exact-match openFDA analysis queried 20,328,575 drug/event reports and generated 80 agent-by-reporting-family rows across 10 ICI agents and 8 irAE reporting families. The strongest reporting signals were observed for known agent-event associations including ipilimumab-endocrine (3086 reports; ROR 29.59, 95% CI 28.50–30.73) and pembrolizumab-endocrine (4966 reports; ROR 22.10, 95% CI 21.45–22.77). Several cells with fewer than 100 reports, notably relatlimab-neuromuscular and relatlimab-cardiac, generated high RORs that are flagged as unstable signal indicators rather than stable pharmacovigilance estimates.</w:t>
      </w:r>
    </w:p>
    <w:p>
      <w:r>
        <w:t>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These data cannot support cross-tumor comparisons because tumor type is not reliably captured in spontaneous reporting databases. High RORs with small report counts, especially relatlimab cells, were treated as reporting-signal flags rather than stable risk estimates. Therefore, these results support a reporting-signal phenotype and should not be interpreted as incidence, comparative risk, strict irAE rate, or cross-tumor comparative evidence.</w:t>
      </w:r>
    </w:p>
    <w:p>
      <w:pPr>
        <w:pStyle w:val="Heading3"/>
      </w:pPr>
      <w:r>
        <w:t>Patient-level severe-irAE transcriptomes supported phenotype measurability</w:t>
      </w:r>
    </w:p>
    <w:p>
      <w:r>
        <w:t>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w:t>
      </w:r>
    </w:p>
    <w:p>
      <w:r>
        <w:t>These results do not estimate lymphoma-versus-solid causality or support cross-tumor biomarker comparisons. Their value is different: they show that toxicity phenotypes are molecularly measurable when patient-level toxicity labels and molecular profiles are linked. This strengthens the manuscript beyond an endpoint-audit study by linking aggregate estimability with patient-level molecular support, while preserving the boundary that this is not a cross-tumor biomarker model.</w:t>
      </w:r>
    </w:p>
    <w:p>
      <w:pPr>
        <w:pStyle w:val="Heading3"/>
      </w:pPr>
      <w:r>
        <w:t>The phenotype interpretation standard converted limitations into future study requirements</w:t>
      </w:r>
    </w:p>
    <w:p>
      <w:r>
        <w:t>The final output is a toxicity phenotype interpretation standard applicable to any cross-tumor ICI safety comparison.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Without these fields, cross-tumor conclusions drawn from any one evidence system risk measuring endpoint heterogeneity rather than true biological differences between tumor types.</w:t>
      </w:r>
    </w:p>
    <w:p>
      <w:pPr>
        <w:pStyle w:val="Heading2"/>
      </w:pPr>
      <w:r>
        <w:t>Discussion</w:t>
      </w:r>
    </w:p>
    <w:p>
      <w:r>
        <w:t>This study demonstrates that a difficult clinical question—whether ICI toxicity differs across tumor types—cannot be answered by a single toxicity estimate because different evidence systems and endpoint definitions measure different toxicity phenotypes. Using lymphoma versus solid tumors as a clinical stress test, we show that broad high-grade safety burden, strict organ-specific inflammatory irAE, pharmacovigilance reporting signals and patient-level molecular correlates are not interchangeable. The central finding is not that one tumor type has intrinsically more or less immune toxicity. The central finding is that the answer changes depending on which toxicity phenotype and which evidence system is being measured—and that this problem generalizes to any cross-tumor ICI toxicity comparison.</w:t>
      </w:r>
    </w:p>
    <w:p>
      <w:r>
        <w:t>This distinction matters clinically. Broad high-grade treatment-related AE is relevant for treatment counseling, regimen selection and supportive-care planning, but it is not a pure inflammatory irAE endpoint and cannot support conclusions about differential immune toxicity between tumor types. Strict organ-specific irAE is more relevant for immune-toxicity biology, but the public aggregate evidence is sparse and source-concentrated. Architecture-associated toxicity is clinically useful for interpreting combination regimens, but aggregate arm-level data cannot identify causal timing effects and treatment architecture can confound cross-tumor comparisons. Patient-level biomarker support is translationally informative, but single-tumor-type data cannot settle cross-tumor causality. Pharmacovigilance reporting signals come from a fundamentally different data-generating process than clinical trial safety tables and cannot be used interchangeably.</w:t>
      </w:r>
    </w:p>
    <w:p>
      <w:r>
        <w:t>The patient-level molecular support layer, anchored to a published melanoma irAE molecular study [34], is an important strengthening relative to a pure evidence framework. It shows that toxicity phenotypes are molecularly measurable when patient-level toxicity labels and molecular profiles are linked.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 but such extension requires harmonized data that are not currently available in public resources.</w:t>
      </w:r>
    </w:p>
    <w:p>
      <w:r>
        <w:t>The lymphoma setting should be interpreted as an immune-context remodeling case rather than a simple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r>
        <w:t>The study has limitations that restrict any cross-tumor inference.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All four evidence systems carry limitations that are amplified when interpreted as supporting cross-tumor comparisons.</w:t>
      </w:r>
    </w:p>
    <w:p>
      <w:r>
        <w:t>The practical implication extends beyond the lymphoma-solid comparison. Any future ICI safety study that intends to compare toxicity across tumor types should define the toxicity phenotype before estimating differences. A definitive cross-tumor patient-level study would require harmonized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cross-tumor questions. The phenotype interpretation standard defined here provides the minimum field set.</w:t>
      </w:r>
    </w:p>
    <w:p>
      <w:r>
        <w:t>In conclusion, cross-tumor ICI toxicity comparisons are only interpretable when the toxicity phenotype and evidence system are specified. Public aggregate evidence captures broad safety burden but cannot support strict organ-specific cross-tumor inference. Pharmacovigilance reporting signals and patient-level molecular support measure different constructs than clinical trial endpoints and cannot substitute for them in cross-tumor comparisons. The appropriate contribution of this analysis is a generalizable phenotype-decomposition framework for interpreting and designing future cross-tumor ICI toxicity studies.</w:t>
      </w:r>
    </w:p>
    <w:p>
      <w:pPr>
        <w:pStyle w:val="Heading2"/>
      </w:pPr>
      <w:r>
        <w:t>Figure Legends</w:t>
      </w:r>
    </w:p>
    <w:p>
      <w:r>
        <w:t>Figure 1. ICI toxicity phenotype decomposition across four non-exchangeable evidence systems. Dashed separators indicate that the four layers answer different questions. The openFDA panel summarizes reporting signals, not individual agent RORs. Values are script-generated from locked supplementary files.</w:t>
      </w:r>
    </w:p>
    <w:p>
      <w:r>
        <w:t>Figure 2. Phenotype-specific clinical estimates. Broad high-grade treatment-related adverse event pooled estimates are shown by tumor lineage and chemotherapy context. Broad high-grade treatment-related adverse events are interpreted as a heterogeneous safety-burden phenotype, not strict inflammatory irAE. Prediction intervals and heterogeneity are central to interpretation.</w:t>
      </w:r>
    </w:p>
    <w:p>
      <w:r>
        <w:t>Figure 3. Organ-specific strict irAE estimability audit. Organ-by-grade strata are classified by whether lineage-wide strict irAE pooling is estimable, descriptive only or not estimable. This figure supports the finding that most strict organ-specific irAE comparisons cannot support cross-tumor inference from current public aggregate evidence.</w:t>
      </w:r>
    </w:p>
    <w:p>
      <w:r>
        <w:t>Figure 4. openFDA exact-match reporting-signal heatmap (80 agent-by-irAE-family cells, 10 ICI agents, 8 families). Cell numbers: report counts. Color: log2 reporting odds ratio. Low-count, high-ROR cells (&lt;100 reports) are exploratory signal flags. These spontaneous-reporting signals must not be interpreted as incidence, risk, or adjudicated irAE rates.</w:t>
      </w:r>
    </w:p>
    <w:p>
      <w:r>
        <w:t>Figure 5. External melanoma PBMC severe-irAE molecular support. 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provides molecular support, not biomarker validation or cross-tumor causal evidence.</w:t>
      </w:r>
    </w:p>
    <w:p>
      <w:pPr>
        <w:pStyle w:val="Heading2"/>
      </w:pPr>
      <w:r>
        <w:t>Data and Code Availability</w:t>
      </w:r>
    </w:p>
    <w:p>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archive package (v3.10): https://github.com/xutaoguo55/ici-irae-phenotype-decomposition-esmo-open-v3-10/releases/tag/v3.10 This repository contains the v3.10 submission-facing package used for ESMO Open hardening. The openFDA layer used the public FDA drug/event API, and the patient-level molecular support layer used public GEO resources GSE186143 and GSE186144. Repository DOI is 10.5281/zenodo.20989857 (https://doi.org/10.5281/zenodo.20989857).</w:t>
      </w:r>
    </w:p>
    <w:p>
      <w:pPr>
        <w:pStyle w:val="Heading2"/>
      </w:pPr>
      <w:r>
        <w:t>Ethics and Reporting</w:t>
      </w:r>
    </w:p>
    <w:p>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of publicly available, de-identified data (exemption confirmation; identifier not required under local policy for secondary analyses of public data).</w:t>
      </w:r>
    </w:p>
    <w:p>
      <w:pPr>
        <w:pStyle w:val="Heading2"/>
      </w:pPr>
      <w:r>
        <w:t>Competing Interests</w:t>
      </w:r>
    </w:p>
    <w:p>
      <w:r>
        <w:t>The authors declare no competing interests related to this work. X.G. has received honoraria for educational lectures unrelated to this study. The remaining authors declare no conflicts of interest.</w:t>
      </w:r>
    </w:p>
    <w:p>
      <w:pPr>
        <w:pStyle w:val="Heading2"/>
      </w:pPr>
      <w:r>
        <w:t>Funding</w:t>
      </w:r>
    </w:p>
    <w:p>
      <w:r>
        <w:t>This study was supported by institutional support from the Clinical Medical Research Center of Hematological Diseases of Guangdong Province (no specific grant number). The funder had no role in study design, data collection, analysis, interpretation, or the decision to submit for publication.</w:t>
      </w:r>
    </w:p>
    <w:p>
      <w:pPr>
        <w:pStyle w:val="Heading2"/>
      </w:pPr>
      <w:r>
        <w:t>Author Contributions</w:t>
      </w:r>
    </w:p>
    <w:p>
      <w:r>
        <w:t>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Heading2"/>
      </w:pPr>
      <w:r>
        <w:t>Word Count</w:t>
      </w:r>
    </w:p>
    <w:p>
      <w:r>
        <w:t>Abstract: 259 words. Main text (excluding abstract, figure legends, data availability, ethics, competing interests, funding, author contributions, and references): approximately 3,500 words.</w:t>
      </w:r>
    </w:p>
    <w:p>
      <w:pPr>
        <w:pStyle w:val="Heading2"/>
      </w:pPr>
      <w:r>
        <w:t>References</w:t>
      </w:r>
    </w:p>
    <w:p>
      <w:r>
        <w:t>1. Borghaei H, Paz-Ares L, Horn L, Spigel DR, Steins M, Ready NE, et al. Nivolumab versus Docetaxel in Advanced Nonsquamous Non-Small-Cell Lung Cancer. New England Journal of Medicine. 2015;373(17):1627-1639. doi:10.1056/nejmoa1507643</w:t>
      </w:r>
    </w:p>
    <w:p>
      <w:r>
        <w:t>2. Brahmer J, Reckamp KL, Baas P, Crino L, Eberhardt WEE, Poddubskaya E, et al. Nivolumab versus Docetaxel in Advanced Squamous-Cell Non-Small-Cell Lung Cancer. New England Journal of Medicine. 2015;373(2):123-135. doi:10.1056/nejmoa1504627</w:t>
      </w:r>
    </w:p>
    <w:p>
      <w:r>
        <w:t>3. Larkin J, Chiarion-Sileni V, Gonzalez R, Grob JJ, Cowey CL, Lao CD, et al. Combined Nivolumab and Ipilimumab or Monotherapy in Untreated Melanoma. New England Journal of Medicine. 2015;373(1):23-34. doi:10.1056/nejmoa1504030</w:t>
      </w:r>
    </w:p>
    <w:p>
      <w:r>
        <w:t>4. Robert C, Schachter J, Long GV, Arance A, Grob JJ, Mortier L, et al. Pembrolizumab versus Ipilimumab in Advanced Melanoma. New England Journal of Medicine. 2015;372(26):2521-2532. doi:10.1056/nejmoa1503093</w:t>
      </w:r>
    </w:p>
    <w:p>
      <w:r>
        <w:t>5. Reck M, Rodriguez-Abreu D, Robinson AG, Hui R, Csoszi T, Fulop A, et al. Pembrolizumab versus Chemotherapy for PD-L1-Positive Non-Small-Cell Lung Cancer. New England Journal of Medicine. 2016;375(19):1823-1833. doi:10.1056/nejmoa1606774</w:t>
      </w:r>
    </w:p>
    <w:p>
      <w:r>
        <w:t>6. Antonia SJ, Villegas A, Daniel D, Vicente D, Murakami S, Hui R, et al. Durvalumab after Chemoradiotherapy in Stage III Non-Small-Cell Lung Cancer. New England Journal of Medicine. 2017;377(20):1919-1929. doi:10.1056/nejmoa1709937</w:t>
      </w:r>
    </w:p>
    <w:p>
      <w:r>
        <w:t>7. Gandhi L, Rodriguez-Abreu D, Gadgeel S, Esteban E, Felip E, De Angelis F, et al. Pembrolizumab plus Chemotherapy in Metastatic Non-Small-Cell Lung Cancer. New England Journal of Medicine. 2018;378(22):2078-2092. doi:10.1056/nejmoa1801005</w:t>
      </w:r>
    </w:p>
    <w:p>
      <w:r>
        <w:t>8. Motzer RJ, Tannir NM, McDermott DF, Aren Frontera O, Melichar B, Choueiri TK, et al. Nivolumab plus Ipilimumab versus Sunitinib in Advanced Renal-Cell Carcinoma. New England Journal of Medicine. 2018;378(14):1277-1290. doi:10.1056/nejmoa1712126</w:t>
      </w:r>
    </w:p>
    <w:p>
      <w:r>
        <w:t>9. Paz-Ares L, Luft A, Vicente D, Tafreshi A, Gumus M, Mazieres J, et al. Pembrolizumab plus Chemotherapy for Squamous Non-Small-Cell Lung Cancer. New England Journal of Medicine. 2018;379(21):2040-2051. doi:10.1056/nejmoa1810865</w:t>
      </w:r>
    </w:p>
    <w:p>
      <w:r>
        <w:t>10. Ramchandren R, Domingo-Domenech E, Rueda A, Trneny M, Feldman TA, Lee HJ, et al. Nivolumab for Newly Diagnosed Advanced-Stage Classic Hodgkin Lymphoma: Safety and Efficacy in the Phase II CheckMate 205 Study. Journal of Clinical Oncology. 2019;37(23):1997-2007. doi:10.1200/jco.19.00315</w:t>
      </w:r>
    </w:p>
    <w:p>
      <w:r>
        <w:t>11. Rini BI, Plimack ER, Stus V, Gafanov R, Hawkins R, Nosov D, et al. Pembrolizumab plus Axitinib versus Sunitinib for Advanced Renal-Cell Carcinoma. New England Journal of Medicine. 2019;380(12):1116-1127. doi:10.1056/nejmoa1816714</w:t>
      </w:r>
    </w:p>
    <w:p>
      <w:r>
        <w:t>12. Finn RS, Qin S, Ikeda M, Galle PR, Ducreux M, Kim TY, et al. Atezolizumab plus Bevacizumab in Unresectable Hepatocellular Carcinoma. New England Journal of Medicine. 2020;382(20):1894-1905. doi:10.1056/nejmoa1915745</w:t>
      </w:r>
    </w:p>
    <w:p>
      <w:r>
        <w:t>13. Powles T, Park SH, Voog E, Caserta C, Valderrama BP, Gurney H, et al. Avelumab Maintenance Therapy for Advanced or Metastatic Urothelial Carcinoma. New England Journal of Medicine. 2020;383(13):1218-1230. doi:10.1056/nejmoa2002788</w:t>
      </w:r>
    </w:p>
    <w:p>
      <w:r>
        <w:t>14. Schmid P, Cortes J, Pusztai L, McArthur H, Kummel S, Bergh J, et al. Pembrolizumab for Early Triple-Negative Breast Cancer. New England Journal of Medicine. 2020;382(9):810-821. doi:10.1056/nejmoa1910549</w:t>
      </w:r>
    </w:p>
    <w:p>
      <w:r>
        <w:t>15. Allen PB, Savas H, Evens AM, Advani RH, Palmer B, Pro B, et al. Pembrolizumab followed by AVD in untreated early unfavorable and advanced-stage classical Hodgkin lymphoma. Blood. 2021;137(10):1318-1326. doi:10.1182/blood.2020007400</w:t>
      </w:r>
    </w:p>
    <w:p>
      <w:r>
        <w:t>16. Choueiri TK, Tomczak P, Park SH, Venugopal B, Ferguson T, Chang YH, et al. Adjuvant Pembrolizumab after Nephrectomy in Renal-Cell Carcinoma. New England Journal of Medicine. 2021;385(8):683-694. doi:10.1056/nejmoa2106391</w:t>
      </w:r>
    </w:p>
    <w:p>
      <w:r>
        <w:t>17. 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r>
        <w:t>18. 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r>
        <w:t>19. 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r>
        <w:t>20. 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r>
        <w:t>21. Satouchi M, Nosaki K, Takahashi T, Nakagawa K, Aoe K, Kurata T, et al. First-line pembrolizumab vs chemotherapy in metastatic non-small-cell lung cancer: KEYNOTE-024 Japan subset. Cancer Science. 2021;112(12):5000-5010. doi:10.1111/cas.15144</w:t>
      </w:r>
    </w:p>
    <w:p>
      <w:r>
        <w:t>22. 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r>
        <w:t>23. 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r>
        <w:t>24. Forde PM, Spicer J, Lu S, Provencio M, Mitsudomi T, Awad MM, et al. Neoadjuvant Nivolumab plus Chemotherapy in Resectable Lung Cancer. New England Journal of Medicine. 2022;386(21):1973-1985. doi:10.1056/nejmoa2202170</w:t>
      </w:r>
    </w:p>
    <w:p>
      <w:r>
        <w:t>25. Gogishvili M, Melkadze T, Makharadze T, Giorgadze D, Dvorkin M, Penkov K, et al. Cemiplimab plus chemotherapy versus chemotherapy alone in non-small cell lung cancer: a randomized, controlled, double-blind phase 3 trial. Nature Medicine. 2022;28(11):2374-2380. doi:10.1038/s41591-022-01977-y</w:t>
      </w:r>
    </w:p>
    <w:p>
      <w:r>
        <w:t>26. Makker V, Colombo N, Casado Herraez A, Santin AD, Colomba E, Miller DS, et al. Lenvatinib plus Pembrolizumab for Advanced Endometrial Cancer. New England Journal of Medicine. 2022;386(5):437-448. doi:10.1056/nejmoa2108330</w:t>
      </w:r>
    </w:p>
    <w:p>
      <w:r>
        <w:t>27. Mei MG, Lee HJ, Palmer JM, Chen R, Tsai NC, Chen L, et al. Response-adapted anti-PD-1-based salvage therapy for Hodgkin lymphoma with nivolumab alone or in combination with ICE. Blood. 2022;139(25):3605-3616. doi:10.1182/blood.2022015423</w:t>
      </w:r>
    </w:p>
    <w:p>
      <w:r>
        <w:t>28. 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r>
        <w:t>29. Armand P, Zinzani PL, Lee HJ, Johnson NA, Brice P, Radford J, et al. Five-year follow-up of KEYNOTE-087: pembrolizumab monotherapy for relapsed/refractory classical Hodgkin lymphoma. Blood. 2023;142(10):878-886. doi:10.1182/blood.2022019386</w:t>
      </w:r>
    </w:p>
    <w:p>
      <w:r>
        <w:t>30. Garassino MC, Gadgeel S, Speranza G, Felip E, Esteban E, Domine M, et al. Pembrolizumab Plus Pemetrexed and Platinum in Nonsquamous Non-Small-Cell Lung Cancer: 5-Year Outcomes From the Phase 3 KEYNOTE-189 Study. Journal of Clinical Oncology. 2023;41(11):1992-1998. doi:10.1200/jco.22.01989</w:t>
      </w:r>
    </w:p>
    <w:p>
      <w:r>
        <w:t>31. Novello S, Kowalski DM, Luft A, Gumus M, Vicente D, Mazieres J, et al. Pembrolizumab Plus Chemotherapy in Squamous Non-Small-Cell Lung Cancer: 5-Year Update of the Phase III KEYNOTE-407 Study. Journal of Clinical Oncology. 2023;41(11):1999-2006. doi:10.1200/jco.22.01990</w:t>
      </w:r>
    </w:p>
    <w:p>
      <w:r>
        <w:t>32. Zinzani PL, Thieblemont C, Melnichenko V, Bouabdallah K, Walewski J, Majlis A, et al. Pembrolizumab in Relapsed or Refractory Primary Mediastinal Large B-Cell Lymphoma: Final Analysis of KEYNOTE-170. Blood. 2023;142(2):141-145. doi:10.1182/blood.2022019340</w:t>
      </w:r>
    </w:p>
    <w:p>
      <w:r>
        <w:t>33. Park SH, Chang YH, Lee JL, Choueiri TK, Kimura G, Chung J, et al. Adjuvant Pembrolizumab Versus Placebo for Renal Cell Carcinoma in the East Asian Subgroup of the Phase 3 KEYNOTE-564 Study. Cancer Research and Treatment. 2026;58(2):613-621. Epub 2025 Jun 26. doi:10.4143/crt.2025.365</w:t>
      </w:r>
    </w:p>
    <w:p>
      <w:r>
        <w:t>34. Lozano AX, Chaudhuri AA, Nene A, Bacchiocchi A, Earland N, Vesely MD, et al. T cell characteristics associated with toxicity to immune checkpoint blockade in patients with melanoma. Nature Medicine. 2022;28(2):353-362. doi:10.1038/s41591-021-01623-z</w:t>
      </w:r>
    </w:p>
    <w:p>
      <w:r>
        <w:t>35. Haanen J, Obeid M, Spain L, Carbonnel F, Wang Y, Robert C, et al. Management of toxicities from immunotherapy: ESMO Clinical Practice Guideline for diagnosis, treatment and follow-up. Annals of Oncology. 2022;33(12):1217-1238. doi:10.1016/j.annonc.2022.10.001</w:t>
      </w:r>
    </w:p>
    <w:p>
      <w:r>
        <w:t>36. Schneider BJ, Naidoo J, Santomasso BD, Lacchetti C, Adkins S, Anadkat M, et al. Management of Immune-Related Adverse Events in Patients Treated with Immune Checkpoint Inhibitor Therapy: ASCO Guideline Update. Journal of Clinical Oncology. 2021;39(36):4073-4126. doi:10.1200/JCO.21.01440</w:t>
      </w:r>
    </w:p>
    <w:p>
      <w:r>
        <w:t>37. 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r>
        <w:t>38. U.S. Food and Drug Administration. openFDA Drug Event API. Available at: https://open.fda.gov/apis/drug/event/. Accessed 28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