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ba399f881fe63b6dbd1ec64cafc2384b633276"/>
    <w:p>
      <w:pPr>
        <w:pStyle w:val="Heading1"/>
      </w:pPr>
      <w:r>
        <w:t xml:space="preserve">Endpoint-Defined Immune Checkpoint Inhibitor Toxicity Phenotype Decomposition Across Evidence Systems</w:t>
      </w:r>
    </w:p>
    <w:p>
      <w:pPr>
        <w:pStyle w:val="FirstParagraph"/>
      </w:pPr>
      <w:r>
        <w:t xml:space="preserve">Short title: ICI toxicity phenotype decomposition across evidence systems</w:t>
      </w:r>
    </w:p>
    <w:p>
      <w:pPr/>
      <w:r>
        <w:rPr>
          <w:rFonts w:ascii="Times New Roman" w:hAnsi="Times New Roman"/>
          <w:sz w:val="22"/>
        </w:rPr>
        <w:t xml:space="preserve"/>
      </w:r>
    </w:p>
    <w:p>
      <w:pPr>
        <w:jc w:val="center"/>
      </w:pPr>
      <w:r>
        <w:rPr>
          <w:rFonts w:ascii="Times New Roman" w:hAnsi="Times New Roman"/>
          <w:sz w:val="24"/>
          <w:b/>
        </w:rPr>
        <w:t xml:space="preserve">Junwei Huang†, Xiaolei Wei†, Haiqing Zheng†, Qi Wei, Yongqiang Wei, Ru Feng, Xutao Guo*</w:t>
      </w:r>
    </w:p>
    <w:p>
      <w:pPr/>
      <w:r>
        <w:rPr>
          <w:rFonts w:ascii="Times New Roman" w:hAnsi="Times New Roman"/>
          <w:sz w:val="12"/>
        </w:rPr>
        <w:t xml:space="preserve"/>
      </w:r>
    </w:p>
    <w:p>
      <w:pPr/>
      <w:r>
        <w:rPr>
          <w:rFonts w:ascii="Times New Roman" w:hAnsi="Times New Roman"/>
          <w:sz w:val="20"/>
        </w:rPr>
        <w:t xml:space="preserve">1 Department of Hematology, Nanfang Hospital, Southern Medical University, Guangzhou, China</w:t>
      </w:r>
    </w:p>
    <w:p>
      <w:pPr/>
      <w:r>
        <w:rPr>
          <w:rFonts w:ascii="Times New Roman" w:hAnsi="Times New Roman"/>
          <w:sz w:val="20"/>
        </w:rPr>
        <w:t xml:space="preserve">2 Department of Nosocomial Infection Management, Nanfang Hospital, Southern Medical University, Guangzhou, China</w:t>
      </w:r>
    </w:p>
    <w:p>
      <w:pPr/>
      <w:r>
        <w:rPr>
          <w:rFonts w:ascii="Times New Roman" w:hAnsi="Times New Roman"/>
          <w:sz w:val="20"/>
        </w:rPr>
        <w:t xml:space="preserve">3 Clinical Medical Research Center of Hematological Diseases of Guangdong Province, Guangzhou, China</w:t>
      </w:r>
    </w:p>
    <w:p>
      <w:pPr/>
      <w:r>
        <w:rPr>
          <w:rFonts w:ascii="Times New Roman" w:hAnsi="Times New Roman"/>
          <w:sz w:val="8"/>
        </w:rPr>
        <w:t xml:space="preserve"/>
      </w:r>
    </w:p>
    <w:p>
      <w:pPr/>
      <w:r>
        <w:rPr>
          <w:rFonts w:ascii="Times New Roman" w:hAnsi="Times New Roman"/>
          <w:sz w:val="20"/>
        </w:rPr>
        <w:t xml:space="preserve">† These authors contributed equally to this work.</w:t>
      </w:r>
    </w:p>
    <w:p>
      <w:pPr/>
      <w:r>
        <w:rPr>
          <w:rFonts w:ascii="Times New Roman" w:hAnsi="Times New Roman"/>
          <w:sz w:val="20"/>
        </w:rPr>
        <w:t xml:space="preserve">* Correspondence: Xutao Guo, guoxutao@smu.edu.cn</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safety endpoints, pharmacovigilance reports and molecular cohorts measure different toxicity phenotypes.</w:t>
      </w:r>
      <w:r>
        <w:t xml:space="preserve"> </w:t>
      </w:r>
      <w:r>
        <w:rPr>
          <w:b/>
          <w:bCs/>
        </w:rPr>
        <w:t xml:space="preserve">Methods:</w:t>
      </w:r>
      <w:r>
        <w:t xml:space="preserve"> </w:t>
      </w:r>
      <w:r>
        <w:t xml:space="preserve">We used lymphoma versus solid-tumor ICI toxicity as a clinical stress test and combined four evidence layers: a locked aggregate source registry with endpoint taxonomy, an organ-specific strict immune-related adverse event (irAE) estimability audit, an exact-match openFDA pharmacovigilance reporting-signal layer, and an external patient-level irAE-linked melanoma PBMC RNA-seq molecular-support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An openFDA exact-match layer generated 80 agent-by-event-family reporting-signal rows and illustrated a pharmacovigilance phenotype distinct from incidence-based trial endpoints; these signals were not interpreted as incidence, exposed-patient risk, tumor-lineage risk or adjudicated irAE rates. In an external melanoma PBMC cohort, severe irAE status showed 4 unadjusted FDR-significant immune-signature associations among 21 severe versus 39 grade 0-2 samples; none remained FDR-significant in exploratory models that included combination-therapy indicator.</w:t>
      </w:r>
      <w:r>
        <w:t xml:space="preserve"> </w:t>
      </w:r>
      <w:r>
        <w:rPr>
          <w:b/>
          <w:bCs/>
        </w:rPr>
        <w:t xml:space="preserve">Conclusions:</w:t>
      </w:r>
      <w:r>
        <w:t xml:space="preserve"> </w:t>
      </w:r>
      <w:r>
        <w:t xml:space="preserve">ICI toxicity differences are phenotype-dependent across evidence systems: broad high-grade safety burden, mostly non-estimable strict organ-specific irAE lineage comparison, pharmacovigilance reporting signals, and therapy-confounded patient-level molecular support. Current evidence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20"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source files and public data. The study had four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pharmacovigilance layer queried openFDA drug/event data as an external reporting-signal phenotype layer. The patient-level molecular support layer tested whether severe irAE, as a toxicity phenotype, was associated with immune transcriptomic signatures when sample-level toxicity labels and molecular profiles were jointly available.</w:t>
      </w:r>
    </w:p>
    <w:bookmarkEnd w:id="11"/>
    <w:bookmarkStart w:id="12" w:name="Xb5f93f9d9a70bff7a4c9b3a4e7eac0379a325bf"/>
    <w:p>
      <w:pPr>
        <w:pStyle w:val="Heading3"/>
      </w:pPr>
      <w:r>
        <w:t xml:space="preserve">Source identification, screening and extraction</w:t>
      </w:r>
    </w:p>
    <w:p>
      <w:pPr>
        <w:pStyle w:val="FirstParagraph"/>
      </w:pPr>
      <w:r>
        <w:t>This was not designed as a conventional single-endpoint systematic review. Instead, we built a prespecified source registry for toxicity phenotype decomposition from pivotal ICI trial reports, trial appendices, regulatory or manufacturer safety sources, trial registries, selected post-hoc safety reports and public molecular datasets. Source blocks were eligible when an ICI-containing treatment arm or source-level ICI safety table could be resolved to tumor lineage, tumor type, regimen, ICI class, endpoint label, grade threshold, safety denominator and source tier. Rows were excluded from primary pooling when the endpoint label, denominator, grade threshold, quantitative role or source independence was incompatible with the target phenotype; these rows were retained as sensitivity, audit or context evidence rather than discarded. Multiple reports from the same trial or source family were treated as one source block when they represented overlapping safety evidence, and appendices or regulatory rows were used for endpoint clarification rather than unrestricted duplication. The registry was not intended to exhaust every ICI trial ever published, but to capture source blocks relevant to the prespecified lymphoma-versus-solid tumor stress test and toxicity phenotype layers. Extraction was performed by one analyst using locked row-level files and computational audits; the absence of independent dual extraction is a limitation of the current package.</w:t>
      </w:r>
    </w:p>
    <w:bookmarkEnd w:id="12"/>
    <w:bookmarkStart w:id="13"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3"/>
    <w:bookmarkStart w:id="14"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4"/>
    <w:bookmarkStart w:id="15" w:name="X10d36e6f5dcbb76101a123122c974c5680e0edb"/>
    <w:p>
      <w:pPr>
        <w:pStyle w:val="Heading3"/>
      </w:pPr>
      <w:r>
        <w:t xml:space="preserve">Clinical synthesis and architecture sensitivity</w:t>
      </w:r>
    </w:p>
    <w:p>
      <w:pPr>
        <w:pStyle w:val="FirstParagraph"/>
      </w:pPr>
      <w:r>
        <w:t>Endpoint-compatible pooled estimates used random-effects meta-analysis with restricted maximum likelihood (REML) estimation.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5"/>
    <w:bookmarkStart w:id="16"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6"/>
    <w:bookmarkStart w:id="17" w:name="X36201f1d6fc6b5a2fbfb556edcf2cd85e51d569"/>
    <w:p>
      <w:pPr>
        <w:pStyle w:val="Heading3"/>
      </w:pPr>
      <w:r>
        <w:t xml:space="preserve">openFDA pharmacovigilance reporting-signal layer</w:t>
      </w:r>
    </w:p>
    <w:p>
      <w:pPr>
        <w:pStyle w:val="FirstParagraph"/>
      </w:pPr>
      <w:r>
        <w:t>We queried the public openFDA drug/event API [38] on 2026-06-28 as an external pharmacovigilance sensitivity layer. The analysis used locked agent aliases from</w:t>
      </w:r>
      <w:r>
        <w:t xml:space="preserve"> </w:t>
      </w:r>
      <w:r>
        <w:rPr>
          <w:rStyle w:val="VerbatimChar"/>
        </w:rPr>
        <w:t xml:space="preserve">data/faers_ici_aliases_v3_7.csv</w:t>
      </w:r>
      <w:r>
        <w:t xml:space="preserve"> </w:t>
      </w:r>
      <w:r>
        <w:t xml:space="preserve">and locked irAE reporting-family preferred-term sets from</w:t>
      </w:r>
      <w:r>
        <w:t xml:space="preserve"> </w:t>
      </w:r>
      <w:r>
        <w:rPr>
          <w:rStyle w:val="VerbatimChar"/>
        </w:rPr>
        <w:t xml:space="preserve">data/faers_irae_pt_families_v3_7.csv</w:t>
      </w:r>
      <w:r>
        <w:t xml:space="preserve">. These files defined 10 marketed ICI agents and 8 prespecified reporting families chosen to cover the agents and event families represented in the project scope. Matching was exact on</w:t>
      </w:r>
      <w:r>
        <w:t xml:space="preserve"> </w:t>
      </w:r>
      <w:r>
        <w:rPr>
          <w:rStyle w:val="VerbatimChar"/>
        </w:rPr>
        <w:t xml:space="preserve">patient.drug.medicinalproduct.exact</w:t>
      </w:r>
      <w:r>
        <w:t xml:space="preserve"> </w:t>
      </w:r>
      <w:r>
        <w:t xml:space="preserve">and</w:t>
      </w:r>
      <w:r>
        <w:t xml:space="preserve"> </w:t>
      </w:r>
      <w:r>
        <w:rPr>
          <w:rStyle w:val="VerbatimChar"/>
        </w:rPr>
        <w:t xml:space="preserve">patient.reaction.reactionmeddrapt.exact</w:t>
      </w:r>
      <w:r>
        <w:t xml:space="preserve">. No restriction to primary-suspect or suspect-drug role was applied; therefore, the openFDA layer captures drug/event co-reporting rather than adjudicated drug attribution.</w:t>
      </w:r>
    </w:p>
    <w:p>
      <w:pPr>
        <w:pStyle w:val="BodyText"/>
      </w:pPr>
      <w:r>
        <w:t>For each agent-family cell, we constructed a 2x2 reporting table: reports containing both the agent and event family, reports containing the agent without the family, reports containing the family without the agent, and all other drug/event reports in the openFDA database. Reporting odds ratios (RORs) and 95% confidence intervals used a 0.5 continuity correction. No formal multiplicity-adjusted hypothesis-testing claim was made because this layer was prespecified as descriptive pharmacovigilance reporting-signal evidence, not as a clinical-risk model. No minimum report-count threshold was applied; cells with fewer than 10 reports are flagged as unstable in the output table. We analyzed report-level records returned by the openFDA API as queried. No additional case-version deduplication was performed beyond the API-returned structure. High RORs with small report counts were interpreted cautiously as signal flags. This layer was not used to estimate incidence, exposed-patient risk, tumor-lineage risk, organ-specific adjudicated irAE rates, steroid mediation or causal effects because openFDA does not provide exposed-patient denominators, harmonized oncology indication denominators, complete tumor-type labels or adjudicated irAE attribution.</w:t>
      </w:r>
    </w:p>
    <w:bookmarkEnd w:id="17"/>
    <w:bookmarkStart w:id="18" w:name="X06c28f6dd84971ed0c48efb245cbdfabfd60429"/>
    <w:p>
      <w:pPr>
        <w:pStyle w:val="Heading3"/>
      </w:pPr>
      <w:r>
        <w:t xml:space="preserve">Patient-level irAE-linked transcriptomic molecular support</w:t>
      </w:r>
    </w:p>
    <w:p>
      <w:pPr>
        <w:pStyle w:val="FirstParagraph"/>
      </w:pPr>
      <w:r>
        <w:t xml:space="preserve">The external patient-level molecular support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 We also fit exploratory per-signature logistic models of severe irAE status including signature score and combination-therapy indicator; these models were used only as confounding sensitivity analyses because sample size and therapy imbalance limited inference.</w:t>
      </w:r>
    </w:p>
    <w:bookmarkEnd w:id="18"/>
    <w:bookmarkStart w:id="19"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molecular-support layers.</w:t>
      </w:r>
    </w:p>
    <w:bookmarkEnd w:id="19"/>
    <w:bookmarkEnd w:id="20"/>
    <w:bookmarkStart w:id="28" w:name="results"/>
    <w:p>
      <w:pPr>
        <w:pStyle w:val="Heading2"/>
      </w:pPr>
      <w:r>
        <w:t xml:space="preserve">Results</w:t>
      </w:r>
    </w:p>
    <w:bookmarkStart w:id="21"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21"/>
    <w:bookmarkStart w:id="22"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w:t>
      </w:r>
      <w:r>
        <w:rPr>
          <w:vertAlign w:val="superscript"/>
        </w:rPr>
        <w:t xml:space="preserve">2</w:t>
      </w:r>
      <w:r>
        <w:t xml:space="preserve">=95.2%). Solid-tumor arms had a pooled rate of 31.1% (95% CI 20.2-44.6; prediction interval 4.7-80.5; k=14; events=2237/N=5130; </w:t>
      </w:r>
      <w:r>
        <w:rPr>
          <w:vertAlign w:val="superscript"/>
        </w:rPr>
        <w:t xml:space="preserve">2</w:t>
      </w:r>
      <w:r>
        <w:t xml:space="preserve">=98.7%). This contrast is clinically interpretable as broad high-grade safety burden, but not as a strict inflammatory irAE contrast. The wide prediction intervals and high heterogeneity are central to the interpretation.</w:t>
      </w:r>
    </w:p>
    <w:bookmarkEnd w:id="22"/>
    <w:bookmarkStart w:id="23"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3"/>
    <w:bookmarkStart w:id="24"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4"/>
    <w:bookmarkStart w:id="25" w:name="X8931d00985729d5e0f0ce68767fe4cdcd722837"/>
    <w:p>
      <w:pPr>
        <w:pStyle w:val="Heading3"/>
      </w:pPr>
      <w:r>
        <w:t xml:space="preserve">openFDA separated pharmacovigilance reporting signals from incidence endpoints</w:t>
      </w:r>
    </w:p>
    <w:p>
      <w:pPr>
        <w:pStyle w:val="FirstParagraph"/>
      </w:pPr>
      <w:r>
        <w:t>The exact-match openFDA analysis queried 20,328,575 drug/event reports and generated 80 agent-by-reporting-family rows across 10 ICI agents and 8 irAE reporting families. The strongest reporting signals were observed for known agent-event associations including ipilimumab-endocrine (3086 reports; ROR 29.59, 95% CI 28.50–30.73) and pembrolizumab-endocrine (4966 reports; ROR 22.10, 95% CI 21.45–22.77). Several cells with fewer than 100 reports, notably relatlimab-neuromuscular and relatlimab-cardiac, generated high RORs that are flagged as unstable signal indicators rather than stable pharmacovigilance estimates.</w:t>
      </w:r>
    </w:p>
    <w:p>
      <w:pPr>
        <w:pStyle w:val="BodyText"/>
      </w:pPr>
      <w:r>
        <w:t xml:space="preserve">This layer strengthened the toxicity phenotype decomposition model by adding a real external database analysis, but it did not change the clinical inference boundary. openFDA reports are spontaneous pharmacovigilance reports; they do not contain exposed-patient denominators or harmonized tumor-specific adjudicated irAE outcomes. High RORs with small report counts, especially relatlimab cells, were treated as reporting-signal flags rather than stable risk estimates. Therefore, these results support a reporting-signal phenotype and should not be interpreted as incidence, comparative risk, strict irAE rate or lymphoma-versus-solid tumor causal evidence.</w:t>
      </w:r>
    </w:p>
    <w:bookmarkEnd w:id="25"/>
    <w:bookmarkStart w:id="26" w:name="X38ea0c451f341ad0fc32e5b1a1d62899defe2cb"/>
    <w:p>
      <w:pPr>
        <w:pStyle w:val="Heading3"/>
      </w:pPr>
      <w:r>
        <w:t xml:space="preserve">Patient-level severe-irAE transcriptomes supported phenotype measurability</w:t>
      </w:r>
    </w:p>
    <w:p>
      <w:pPr>
        <w:pStyle w:val="FirstParagraph"/>
      </w:pPr>
      <w:r>
        <w:t xml:space="preserve">The patient-level molecular support cohort contained 60 melanoma PBMC bulk RNA-seq samples with usable highest irAE grade labels: 21 severe irAE samples and 39 grade 0-2 samples. Across 11 locked signatures, 4 were significant at FDR &lt;0.05 in unadjusted analyses. The leading associations were cytotoxicity delta 0.664, q=0.0213; M2-like myeloid/macrophage delta 0.613, q=0.0213; MHC-II antigen presentation delta 0.754, q=0.0213; and B-cell context delta 0.522, q=0.0362. Leave-one-sample analysis did not reverse the severe-minus-non-severe direction for 11 of 11 signatures, but no signature remained FDR-significant after exploratory models included a combination-therapy indicator. Therapy-type sensitivity was descriptive because severe irAE was concentrated in combination-treated samples: Anti-PD1 3 severe versus 26 grade 0-2, and combination therapy 18 severe versus 13 grade 0-2. Exploratory therapy-adjusted logistic sensitivity identified 0 signatures with FDR q&lt;0.05 after including a combination-therapy indicator, so the patient-level layer is retained as molecular support rather than definitive evidence.</w:t>
      </w:r>
    </w:p>
    <w:p>
      <w:pPr>
        <w:pStyle w:val="BodyText"/>
      </w:pPr>
      <w:r>
        <w:t>These results do not estimate lymphoma-versus-solid causality. Their value is different: they show that toxicity phenotypes are molecularly measurable when patient-level toxicity labels and molecular profiles are linked. This strengthens the manuscript beyond an endpoint-audit study by linking aggregate estimability with patient-level molecular support, while preserving the boundary that this is not a cross-tumor biomarker model.</w:t>
      </w:r>
    </w:p>
    <w:bookmarkEnd w:id="26"/>
    <w:bookmarkStart w:id="27"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7"/>
    <w:bookmarkEnd w:id="28"/>
    <w:bookmarkStart w:id="29"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across clinical, pharmacovigilance and molecular evidence systems. The central finding is not that one tumor lineage has intrinsically more immune toxicity. The central finding is that the answer changes depending on which toxicity phenotype and which evidence system is being measured. Broad high-grade treatment-related toxicity shows a visible but heterogeneous safety-burden contrast. Strict organ-specific inflammatory irAE is mostly not estimable from public aggregate data. openFDA identifies drug-event reporting-signal phenotypes but cannot estimate incidence or lineage risk. Patient-level melanoma PBMC transcriptomes provide therapy-confounded molecular support that severe-irAE phenotypes can be measured when toxicity labels and molecular profiles are linked.</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support is translationally informative, but melanoma-only data cannot settle cross-lineage causality.</w:t>
      </w:r>
    </w:p>
    <w:p>
      <w:pPr>
        <w:pStyle w:val="BodyText"/>
      </w:pPr>
      <w:r>
        <w:t xml:space="preserve">The patient-level molecular support layer, anchored to a published melanoma irAE molecular study [34], is an important scientific strengthening relative to a pure evidence framework. It shows that phenotype decomposition is not only a reporting exercise. Severe irAE is associated with immune programs related to cytotoxicity, M2-like myeloid/macrophage inflammation, MHC-II antigen presentation and B-cell context after FDR control. These associations are exploratory and therapy-confounded; the therapy-adjusted sensitivity is therefore reported as a robustness check rather than proof of an independent biomarker effect. Together,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openFDA layer is subject to spontaneous-reporting bias, duplicate or incomplete reporting, missing exposed-patient denominators, missing tumor-specific denominators and non-adjudicated reaction terms. The patient-level molecular support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9"/>
    <w:bookmarkStart w:id="30" w:name="figure-legends"/>
    <w:p>
      <w:pPr>
        <w:pStyle w:val="Heading2"/>
      </w:pPr>
      <w:r>
        <w:t xml:space="preserve">Figure Legends</w:t>
      </w:r>
    </w:p>
    <w:p>
      <w:pPr>
        <w:pStyle w:val="FirstParagraph"/>
      </w:pPr>
      <w:r>
        <w:rPr>
          <w:b/>
          <w:bCs/>
        </w:rPr>
        <w:t>Figure 1. ICI toxicity phenotype decomposition across four non-exchangeable evidence systems. Dashed separators indicate that the four layers answer different questions. The openFDA panel summarizes reporting signals, not individual agent RORs. Values are script-generated from locked supplementary files.</w:t>
      </w:r>
      <w:r/>
      <w:r/>
    </w:p>
    <w:p>
      <w:pPr>
        <w:pStyle w:val="BodyText"/>
      </w:pPr>
      <w:r>
        <w:rPr>
          <w:b/>
          <w:bCs/>
        </w:rPr>
        <w:t xml:space="preserve">Figure 2. Phenotype-specific clinical estimates.</w:t>
      </w:r>
      <w:r>
        <w:t xml:space="preserve"> </w:t>
      </w:r>
      <w:r>
        <w:t>Broad high-grade treatment-related adverse event pooled estimates are shown by tumor lineage and chemotherapy context. Broad high-grade treatment-related adverse events are interpreted as a heterogeneous safety-burden phenotype, not strict inflammatory irAE. Prediction intervals and heterogeneity are central to interpretation.</w:t>
      </w:r>
    </w:p>
    <w:p>
      <w:pPr>
        <w:pStyle w:val="BodyText"/>
      </w:pPr>
      <w:r>
        <w:rPr>
          <w:b/>
          <w:bCs/>
        </w:rPr>
        <w:t xml:space="preserve">Figure 3. Organ-specific strict irAE estimability audit.</w:t>
      </w:r>
      <w:r>
        <w:t xml:space="preserve"> </w:t>
      </w:r>
      <w:r>
        <w:t xml:space="preserve">Organ-by-grade strata are classified by whether lineage-wide strict irAE pooling is estimable, descriptive only or not estimable. This figure supports the negative result that most strict organ-specific irAE comparisons cannot be estimated from current public aggregate evidence.</w:t>
      </w:r>
    </w:p>
    <w:p>
      <w:pPr>
        <w:pStyle w:val="BodyText"/>
      </w:pPr>
      <w:r>
        <w:rPr>
          <w:b/>
          <w:bCs/>
        </w:rPr>
        <w:t>Figure 4. openFDA exact-match reporting-signal heatmap (80 agent-by-irAE-family cells, 10 ICI agents, 8 families). Cell numbers: report counts. Color: log2 reporting odds ratio. Low-count, high-ROR cells (&lt;100 reports) are exploratory signal flags. These spontaneous-reporting signals must not be interpreted as incidence, risk, or adjudicated irAE rates.</w:t>
      </w:r>
      <w:r/>
      <w:r/>
    </w:p>
    <w:p>
      <w:pPr>
        <w:pStyle w:val="BodyText"/>
      </w:pPr>
      <w:r>
        <w:rPr>
          <w:b/>
          <w:bCs/>
        </w:rPr>
        <w:t xml:space="preserve">Figure 5. External melanoma PBMC severe-irAE molecular support.</w:t>
      </w:r>
      <w:r>
        <w:t xml:space="preserve"> </w:t>
      </w:r>
      <w:r>
        <w:t>Patient-level melanoma PBMC RNA-seq data are used to test whether severe-irAE status is molecularly measurable. Unadjusted FDR-significant associations are shown together with the therapy-confounding boundary; exploratory therapy-adjusted models identified no FDR-significant signatures. Therapy-adjusted models (inset or annotation) identified no FDR-significant signatures. This layer provides molecular support, not biomarker validation or lymphoma-versus-solid causal evidence.</w:t>
      </w:r>
    </w:p>
    <w:bookmarkEnd w:id="30"/>
    <w:bookmarkStart w:id="31" w:name="data-and-code-availability"/>
    <w:p>
      <w:pPr>
        <w:pStyle w:val="Heading2"/>
      </w:pPr>
      <w:r>
        <w:t xml:space="preserve">Data and Code Availability</w:t>
      </w:r>
    </w:p>
    <w:p>
      <w:pPr>
        <w:pStyle w:val="FirstParagraph"/>
      </w:pPr>
      <w:r>
        <w:t>The locked aggregate registry, endpoint-compatible pooled estimates, organ-specific irAE compatibility audit, toxicity phenotype interpretation standard, openFDA reporting-signal outputs, patient-level molecular-support outputs and figure source data are available in the public repository: https://github.com/xutaoguo55/ici-irae-phenotype-decomposition-esmo-open-v3-10. Submission-facing package (v3.10): https://github.com/xutaoguo55/ici-irae-phenotype-decomposition-esmo-open-v3-10/releases/tag/v3.10 Repository DOI is now 10.5281/zenodo.20989857 (https://doi.org/10.5281/zenodo.20989857).</w:t>
      </w:r>
    </w:p>
    <w:bookmarkEnd w:id="31"/>
    <w:bookmarkStart w:id="32" w:name="ethics-and-reporting"/>
    <w:p>
      <w:pPr>
        <w:pStyle w:val="Heading2"/>
      </w:pPr>
      <w:r>
        <w:t xml:space="preserve">Ethics and Reporting</w:t>
      </w:r>
    </w:p>
    <w:p>
      <w:pPr>
        <w:pStyle w:val="FirstParagraph"/>
      </w:pPr>
      <w:r>
        <w:t>This study used published aggregate source information and public de-identified transcriptomic data. No new patient recruitment, intervention or access to identifiable individual data was performed. The institutional review board of Nanfang Hospital, Southern Medical University, confirmed exemption for this secondary analysis of publicly available, de-identified data (exemption confirmation; identifier not required under local policy for secondary analyses of public data).</w:t>
      </w:r>
    </w:p>
    <w:p>
      <w:pPr>
        <w:pStyle w:val="Normal"/>
      </w:pPr>
      <w:r>
        <w:t xml:space="preserve"/>
      </w:r>
    </w:p>
    <w:p>
      <w:pPr>
        <w:pStyle w:val="Heading2"/>
      </w:pPr>
      <w:r>
        <w:t xml:space="preserve">Competing Interests</w:t>
      </w:r>
    </w:p>
    <w:p>
      <w:pPr>
        <w:pStyle w:val="First Paragraph"/>
      </w:pPr>
      <w:r>
        <w:t xml:space="preserve">The authors declare no competing interests related to this work. X.G. has received honoraria for educational lectures unrelated to this study. The remaining authors declare no conflicts of interest.</w:t>
      </w:r>
    </w:p>
    <w:p>
      <w:pPr>
        <w:pStyle w:val="Normal"/>
      </w:pPr>
      <w:r>
        <w:t xml:space="preserve"/>
      </w:r>
    </w:p>
    <w:p>
      <w:pPr>
        <w:pStyle w:val="Heading2"/>
      </w:pPr>
      <w:r>
        <w:t xml:space="preserve">Funding</w:t>
      </w:r>
    </w:p>
    <w:p>
      <w:pPr>
        <w:pStyle w:val="First Paragraph"/>
      </w:pPr>
      <w:r>
        <w:t>This study was supported by institutional support from the Clinical Medical Research Center of Hematological Diseases of Guangdong Province (no specific grant number). The funder had no role in study design, data collection, analysis, interpretation, or the decision to submit for publication.</w:t>
      </w:r>
    </w:p>
    <w:p>
      <w:pPr>
        <w:pStyle w:val="Normal"/>
      </w:pPr>
      <w:r>
        <w:t xml:space="preserve"/>
      </w:r>
    </w:p>
    <w:p>
      <w:pPr>
        <w:pStyle w:val="Heading2"/>
      </w:pPr>
      <w:r>
        <w:t xml:space="preserve">Author Contributions</w:t>
      </w:r>
    </w:p>
    <w:p>
      <w:pPr>
        <w:pStyle w:val="First Paragraph"/>
      </w:pPr>
      <w:r>
        <w:t xml:space="preserve">Conceptualization: X.G., J.H.; Methodology: X.G., J.H., X.W.; Data curation and formal analysis: J.H., X.W., H.Z.; Investigation: J.H., X.W., H.Z., Q.W., Y.W., R.F.; Writing—original draft: J.H., X.G.; Writing—review &amp; editing: all authors; Supervision: X.G.; Guarantor: X.G. All authors approved the final manuscript and agree to be accountable for all aspects of the work.</w:t>
      </w:r>
    </w:p>
    <w:p>
      <w:pPr>
        <w:pStyle w:val="Normal"/>
      </w:pPr>
      <w:r>
        <w:t xml:space="preserve"/>
      </w:r>
    </w:p>
    <w:p>
      <w:pPr>
        <w:pStyle w:val="Heading2"/>
      </w:pPr>
      <w:r>
        <w:t xml:space="preserve">Word Count</w:t>
      </w:r>
    </w:p>
    <w:p>
      <w:pPr>
        <w:pStyle w:val="First Paragraph"/>
      </w:pPr>
      <w:r>
        <w:t xml:space="preserve">Abstract: 255 words. Main text (excluding abstract, figure legends, data availability, ethics, competing interests, funding, author contributions, and references): approximately 3,500 words.</w:t>
      </w:r>
    </w:p>
    <w:bookmarkEnd w:id="32"/>
    <w:bookmarkStart w:id="33"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2023;142(2):141-145. doi:10.1182/blood.2022019340</w:t>
      </w:r>
    </w:p>
    <w:p>
      <w:pPr>
        <w:pStyle w:val="Compact"/>
        <w:numPr>
          <w:ilvl w:val="0"/>
          <w:numId w:val="1001"/>
        </w:numPr>
      </w:pPr>
      <w:r>
        <w:t>Park SH, Chang YH, Lee JL, Choueiri TK, Kimura G, Chung J, et al. Adjuvant Pembrolizumab Versus Placebo for Renal Cell Carcinoma in the East Asian Subgroup of the Phase 3 KEYNOTE-564 Study. Cancer Research and Treatment. 2026;58(2):613-621. Epub 2025 Jun 26.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p>
      <w:pPr>
        <w:pStyle w:val="Compact"/>
        <w:numPr>
          <w:ilvl w:val="0"/>
          <w:numId w:val="1001"/>
        </w:numPr>
      </w:pPr>
      <w:r>
        <w:t>U.S. Food and Drug Administration. openFDA Drug Event API. Available at: https://open.fda.gov/apis/drug/event/. Accessed 28 June 2026.</w:t>
      </w:r>
    </w:p>
    <w:bookmarkEnd w:id="33"/>
    <w:bookmarkEnd w:id="34"/>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2026-06-28T04:32:56Z</dcterms:created>
  <dcterms:modified xsi:type="dcterms:W3CDTF">2026-06-28T04:32:56Z</dcterms:modified>
</cp:coreProperties>
</file>

<file path=docProps/custom.xml><?xml version="1.0" encoding="utf-8"?>
<Properties xmlns="http://schemas.openxmlformats.org/officeDocument/2006/custom-properties" xmlns:vt="http://schemas.openxmlformats.org/officeDocument/2006/docPropsVTypes"/>
</file>