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ESMO Open Cover Letter</w:t>
      </w:r>
    </w:p>
    <w:p>
      <w:r>
        <w:t>Dear Editors,</w:t>
      </w:r>
    </w:p>
    <w:p/>
    <w:p>
      <w:r>
        <w:t>Authors: Junwei Huang†¹, Xiaolei Wei†¹, Haiqing Zheng†², Qi Wei¹, Yongqiang Wei¹, Ru Feng¹, Xutao Guo*¹,³</w:t>
      </w:r>
    </w:p>
    <w:p>
      <w:r>
        <w:t>¹²³ Nanfang Hospital, Southern Medical University, Guangzhou, China · † Equal contribution · * guoxutao@smu.edu.cn</w:t>
      </w:r>
    </w:p>
    <w:p/>
    <w:p>
      <w:r>
        <w:t>We submit "Four Evidence Systems, Four Different Answers: Why Cross-Tumor ICI Toxicity Comparisons Fail."</w:t>
      </w:r>
    </w:p>
    <w:p>
      <w:r>
        <w:t>This manuscript identifies and solves a problem the field has overlooked. Every day, thousands of clinical decisions, meta-analyses, guideline statements, and regulatory submissions compare ICI toxicity across tumor types. Almost none of these comparisons verify that the measurements are comparable. Using lymphoma versus solid tumors as a stress test, we audit four evidence systems commonly invoked in such comparisons. None supports reliable cross-tumor inference with currently available public data.</w:t>
      </w:r>
    </w:p>
    <w:p>
      <w:r>
        <w:t>The study provides a phenotype interpretation standard—a concise table defining what each evidence system can and cannot answer in cross-tumor contexts. It includes Key Points for rapid clinical uptake. It is not a meta-analysis, does not claim lineage causality, and does not interpret openFDA RORs as clinical incidence. Its contribution is to make the problem of endpoint heterogeneity visible, measurable, and actionable.</w:t>
      </w:r>
    </w:p>
    <w:p>
      <w:r>
        <w:t>We believe this article fills a genuine gap in the ESMO Open readership: a translational evidence analysis that changes how clinicians and investigators interpret ICI safety data across tumor types. If published, it will provide an immediately usable framework for evaluating the hundreds of cross-tumor comparisons published and presented each year.</w:t>
      </w:r>
    </w:p>
    <w:p>
      <w:r>
        <w:t>Why now: cross-tumor ICI comparisons are accelerating with the expansion of ICI indications. Without a verification standard, the literature will accumulate increasingly uninterpretable comparisons. This manuscript provides that standard.</w:t>
      </w:r>
    </w:p>
    <w:p>
      <w:r>
        <w:t>Repository: https://github.com/xutaoguo55/ici-irae-phenotype-decomposition-esmo-open-v3-10 · DOI: 10.5281/zenodo.20989857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