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a9f1651da60bedf549dad7a2794549713f09cc"/>
    <w:p>
      <w:pPr>
        <w:pStyle w:val="Heading1"/>
      </w:pPr>
      <w:r>
        <w:t>ESMO Open Core Supplementary / Repository Index v3.10</w:t>
      </w:r>
    </w:p>
    <w:p>
      <w:pPr>
        <w:pStyle w:val="FirstParagraph"/>
      </w:pPr>
      <w:r>
        <w:t>This index lists the journal-facing core files for the v3.10 hardened package. It intentionally excludes internal development drafts and QC clutter.</w:t>
      </w:r>
    </w:p>
    <w:bookmarkStart w:id="9" w:name="manuscript-and-cover"/>
    <w:p>
      <w:pPr>
        <w:pStyle w:val="Heading2"/>
      </w:pPr>
      <w:r>
        <w:t>Manuscript and Cover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>ICI_IRAE_TOXICITY_PHENOTYPE_DECOMPOSITION_V3_10_ESMO_OPEN_HARDENED.docx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>ESMO_OPEN_COVER_LETTER_RATIONALE_V3_10.docx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>ESMO_OPEN_SUPPLEMENTARY_INDEX_CORE_V3_10.docx</w:t>
      </w:r>
    </w:p>
    <w:bookmarkEnd w:id="9"/>
    <w:bookmarkStart w:id="10" w:name="core-figures"/>
    <w:p>
      <w:pPr>
        <w:pStyle w:val="Heading2"/>
      </w:pPr>
      <w:r>
        <w:t>Core Figures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>Figure_1_four_system_toxicity_decomposition_v3_10.pdf/png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>Figure_2_phenotype_specific_estimates_v3_10.pdf/png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>Figure_3_organ_specific_irae_estimability_v3_10.pdf/png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>Figure_4_openfda_reporting_signal_heatmap_v3_10.pdf/png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>Figure_5_patient_level_irAE_support_v3_10.pdf/png</w:t>
      </w:r>
    </w:p>
    <w:bookmarkEnd w:id="10"/>
    <w:bookmarkStart w:id="11" w:name="core-data-tables"/>
    <w:p>
      <w:pPr>
        <w:pStyle w:val="Heading2"/>
      </w:pPr>
      <w:r>
        <w:t>Core Data Tables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evidence_source_registry_v1_3.csv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clinical_endpoint_pooled_estimates_v2_0.csv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organ_specific_irae_endpoint_compatibility_audit_v2_1.csv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openfda_ici_irae_reporting_signal_v3_7.csv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GSE186144_lozano_irAE_signature_association_v3_5.csv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>GSE186144_lozano_therapy_adjusted_signature_models_v3_5.csv</w:t>
      </w:r>
    </w:p>
    <w:p>
      <w:r>
        <w:t xml:space="preserve">supplementary_table_ICI_agents_and_PT_families.csv</w:t>
      </w:r>
    </w:p>
    <w:bookmarkEnd w:id="11"/>
    <w:bookmarkStart w:id="12" w:name="external-source-notes"/>
    <w:p>
      <w:pPr>
        <w:pStyle w:val="Heading2"/>
      </w:pPr>
      <w:r>
        <w:t>External Source Notes</w:t>
      </w:r>
    </w:p>
    <w:p>
      <w:pPr>
        <w:pStyle w:val="FirstParagraph"/>
      </w:pPr>
      <w:r>
        <w:t>The openFDA analysis used exact matching against the public FDA Drug Event API: https://open.fda.gov/apis/drug/event/</w:t>
      </w:r>
    </w:p>
    <w:p>
      <w:pPr>
        <w:pStyle w:val="BodyText"/>
      </w:pPr>
      <w:r>
        <w:t>Public repository URL (repository root): https://github.com/xutaoguo55/ici-irae-phenotype-decomposition-esmo-open-v3-10</w:t>
      </w:r>
    </w:p>
    <w:p>
      <w:pPr>
        <w:pStyle w:val="BodyText"/>
      </w:pPr>
      <w:r>
        <w:t>Submission-facing package (v3.10): https://github.com/xutaoguo55/ici-irae-phenotype-decomposition-esmo-open-v3-10/releases/tag/v3.10</w:t>
      </w:r>
    </w:p>
    <w:p>
      <w:pPr>
        <w:pStyle w:val="BodyText"/>
      </w:pPr>
      <w:r>
        <w:t>DOI: 10.5281/zenodo.20989857 (https://doi.org/10.5281/zenodo.20989857).</w:t>
      </w:r>
    </w:p>
    <w:bookmarkEnd w:id="12"/>
    <w:bookmarkEnd w:id="13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2026-06-28T05:30:29Z</dcterms:created>
  <dcterms:modified xsi:type="dcterms:W3CDTF">2026-06-28T05:30:29Z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