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 xml:space="preserve">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Endpoint-compatible pooled estimates used random-effects meta-analysis with restricted maximum likelihood (REML) estimation.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No minimum report-count threshold was applied; cells with fewer than 10 reports are flagged as unstable in the output table. The openFDA API returns deduplicated case reports as of the query version used; no additional report-level deduplication was performed.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The exact-match openFDA analysis queried 20,328,575 drug/event reports and generated 80 agent-by-reporting-family rows across 10 ICI agents and 8 irAE reporting families. The strongest reporting signals were observed for known agent-event associations including ipilimumab-endocrine (3086 reports; ROR 29.59, 95% CI 28.50–30.73) and pembrolizumab-endocrine (4966 reports; ROR 22.10, 95% CI 21.45–22.77). Several cells with fewer than 100 reports, notably relatlimab-neuromuscular and relatlimab-cardiac, generated high RORs that are flagged as unstable signal indicators rather than stable pharmacovigilance estimates.</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 xml:space="preserve">These results do not estimate lymphoma-versus-solid causality. Their value is different: they show that toxicity phenotypes are biologically measurable when patient-level labels exist.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 xml:space="preserve">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The dashed separators indicate that the evidence systems are not exchangeable. The figure is conceptual and interpretive; it does not imply causal progression between evidence layers.</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 xml:space="preserve">Reporting odds ratios are shown for ICI agent-by-irAE reporting-family cells using exact drug and reaction fields from the FDA openFDA drug/event API. Cell numbers are report counts; color encodes log2 reporting odds ratio. High RORs with small report counts should be interpreted cautiously. These are spontaneous-reporting signals and should not be interpreted as incidence, exposed-patient risk, tumor-lineage risk or adjudicated irAE rates.</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w:t>
      </w:r>
    </w:p>
    <w:bookmarkEnd w:id="31"/>
    <w:bookmarkStart w:id="32" w:name="ethics-and-reporting"/>
    <w:p>
      <w:pPr>
        <w:pStyle w:val="Heading2"/>
      </w:pPr>
      <w:r>
        <w:t xml:space="preserve">Ethics and Reporting</w:t>
      </w:r>
    </w:p>
    <w:p>
      <w:pPr>
        <w:pStyle w:val="FirstParagraph"/>
      </w:pPr>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of publicly available, de-identified data.</w:t>
      </w:r>
    </w:p>
    <w:p>
      <w:pPr>
        <w:pStyle w:val="Normal"/>
      </w:pPr>
      <w:r>
        <w:t xml:space="preserve"/>
      </w:r>
    </w:p>
    <w:p>
      <w:pPr>
        <w:pStyle w:val="Heading2"/>
      </w:pPr>
      <w:r>
        <w:t xml:space="preserve">Competing Interests</w:t>
      </w:r>
    </w:p>
    <w:p>
      <w:pPr>
        <w:pStyle w:val="First Paragraph"/>
      </w:pPr>
      <w:r>
        <w:t xml:space="preserve">The authors declare no competing interests related to this work. X.G. has received honoraria for educational lectures unrelated to this study. The remaining authors declare no conflicts of interest.</w:t>
      </w:r>
    </w:p>
    <w:p>
      <w:pPr>
        <w:pStyle w:val="Normal"/>
      </w:pPr>
      <w:r>
        <w:t xml:space="preserve"/>
      </w:r>
    </w:p>
    <w:p>
      <w:pPr>
        <w:pStyle w:val="Heading2"/>
      </w:pPr>
      <w:r>
        <w:t xml:space="preserve">Funding</w:t>
      </w:r>
    </w:p>
    <w:p>
      <w:pPr>
        <w:pStyle w:val="First Paragraph"/>
      </w:pPr>
      <w:r>
        <w:t xml:space="preserve">This study was supported by the Clinical Medical Research Center of Hematological Diseases of Guangdong Province. The funder had no role in study design, data collection, analysis, interpretation, or the decision to submit for publication.</w:t>
      </w:r>
    </w:p>
    <w:p>
      <w:pPr>
        <w:pStyle w:val="Normal"/>
      </w:pPr>
      <w:r>
        <w:t xml:space="preserve"/>
      </w:r>
    </w:p>
    <w:p>
      <w:pPr>
        <w:pStyle w:val="Heading2"/>
      </w:pPr>
      <w:r>
        <w:t xml:space="preserve">Author Contributions</w:t>
      </w:r>
    </w:p>
    <w:p>
      <w:pPr>
        <w:pStyle w:val="First Paragraph"/>
      </w:pPr>
      <w:r>
        <w:t xml:space="preserve">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Normal"/>
      </w:pPr>
      <w:r>
        <w:t xml:space="preserve"/>
      </w:r>
    </w:p>
    <w:p>
      <w:pPr>
        <w:pStyle w:val="Heading2"/>
      </w:pPr>
      <w:r>
        <w:t xml:space="preserve">Word Count</w:t>
      </w:r>
    </w:p>
    <w:p>
      <w:pPr>
        <w:pStyle w:val="First Paragraph"/>
      </w:pPr>
      <w:r>
        <w:t xml:space="preserve">Abstract: 255 words. Main text (excluding abstract, figure legends, data availability, ethics, competing interests, funding, author contributions, and references): approximately 3,500 words.</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