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X1ba399f881fe63b6dbd1ec64cafc2384b633276"/>
    <w:p>
      <w:pPr>
        <w:pStyle w:val="Heading1"/>
      </w:pPr>
      <w:r>
        <w:t xml:space="preserve">Endpoint-Defined Immune Checkpoint Inhibitor Toxicity Phenotype Decomposition Across Evidence Systems</w:t>
      </w:r>
    </w:p>
    <w:p>
      <w:pPr>
        <w:pStyle w:val="FirstParagraph"/>
      </w:pPr>
      <w:r>
        <w:t xml:space="preserve">Short title: ICI toxicity phenotype decomposition across evidence systems</w:t>
      </w:r>
    </w:p>
    <w:p>
      <w:pPr/>
      <w:r>
        <w:rPr>
          <w:rFonts w:ascii="Times New Roman" w:hAnsi="Times New Roman"/>
          <w:sz w:val="22"/>
        </w:rPr>
        <w:t xml:space="preserve"/>
      </w:r>
    </w:p>
    <w:p>
      <w:pPr>
        <w:jc w:val="center"/>
      </w:pPr>
      <w:r>
        <w:rPr>
          <w:rFonts w:ascii="Times New Roman" w:hAnsi="Times New Roman"/>
          <w:sz w:val="24"/>
          <w:b/>
        </w:rPr>
        <w:t xml:space="preserve">Junwei Huang†, Xiaolei Wei†, Haiqing Zheng†, Qi Wei, Yongqiang Wei, Ru Feng, Xutao Guo*</w:t>
      </w:r>
    </w:p>
    <w:p>
      <w:pPr/>
      <w:r>
        <w:rPr>
          <w:rFonts w:ascii="Times New Roman" w:hAnsi="Times New Roman"/>
          <w:sz w:val="12"/>
        </w:rPr>
        <w:t xml:space="preserve"/>
      </w:r>
    </w:p>
    <w:p>
      <w:pPr/>
      <w:r>
        <w:rPr>
          <w:rFonts w:ascii="Times New Roman" w:hAnsi="Times New Roman"/>
          <w:sz w:val="20"/>
        </w:rPr>
        <w:t xml:space="preserve">1 Department of Hematology, Nanfang Hospital, Southern Medical University, Guangzhou, China</w:t>
      </w:r>
    </w:p>
    <w:p>
      <w:pPr/>
      <w:r>
        <w:rPr>
          <w:rFonts w:ascii="Times New Roman" w:hAnsi="Times New Roman"/>
          <w:sz w:val="20"/>
        </w:rPr>
        <w:t xml:space="preserve">2 Department of Nosocomial Infection Management, Nanfang Hospital, Southern Medical University, Guangzhou, China</w:t>
      </w:r>
    </w:p>
    <w:p>
      <w:pPr/>
      <w:r>
        <w:rPr>
          <w:rFonts w:ascii="Times New Roman" w:hAnsi="Times New Roman"/>
          <w:sz w:val="20"/>
        </w:rPr>
        <w:t xml:space="preserve">3 Clinical Medical Research Center of Hematological Diseases of Guangdong Province, Guangzhou, China</w:t>
      </w:r>
    </w:p>
    <w:p>
      <w:pPr/>
      <w:r>
        <w:rPr>
          <w:rFonts w:ascii="Times New Roman" w:hAnsi="Times New Roman"/>
          <w:sz w:val="8"/>
        </w:rPr>
        <w:t xml:space="preserve"/>
      </w:r>
    </w:p>
    <w:p>
      <w:pPr/>
      <w:r>
        <w:rPr>
          <w:rFonts w:ascii="Times New Roman" w:hAnsi="Times New Roman"/>
          <w:sz w:val="20"/>
        </w:rPr>
        <w:t xml:space="preserve">† These authors contributed equally to this work.</w:t>
      </w:r>
    </w:p>
    <w:p>
      <w:pPr/>
      <w:r>
        <w:rPr>
          <w:rFonts w:ascii="Times New Roman" w:hAnsi="Times New Roman"/>
          <w:sz w:val="20"/>
        </w:rPr>
        <w:t xml:space="preserve">* Correspondence: Xutao Guo, guoxutao@smu.edu.cn</w:t>
      </w:r>
    </w:p>
    <w:bookmarkStart w:id="9" w:name="abstract"/>
    <w:p>
      <w:pPr>
        <w:pStyle w:val="Heading2"/>
      </w:pPr>
      <w:r>
        <w:t xml:space="preserve">Abstract</w:t>
      </w:r>
    </w:p>
    <w:p>
      <w:pPr>
        <w:pStyle w:val="FirstParagraph"/>
      </w:pPr>
      <w:r>
        <w:rPr>
          <w:b/>
          <w:bCs/>
        </w:rPr>
        <w:t xml:space="preserve">Background:</w:t>
      </w:r>
      <w:r>
        <w:t xml:space="preserve"> </w:t>
      </w:r>
      <w:r>
        <w:t xml:space="preserve">Immune checkpoint inhibitor (ICI) toxicity is often compared across tumor settings as a single incidence outcome, although safety endpoints, pharmacovigilance reports and molecular cohorts measure different toxicity phenotypes.</w:t>
      </w:r>
      <w:r>
        <w:t xml:space="preserve"> </w:t>
      </w:r>
      <w:r>
        <w:rPr>
          <w:b/>
          <w:bCs/>
        </w:rPr>
        <w:t xml:space="preserve">Methods:</w:t>
      </w:r>
      <w:r>
        <w:t xml:space="preserve"> </w:t>
      </w:r>
      <w:r>
        <w:t xml:space="preserve">We used lymphoma versus solid-tumor ICI toxicity as a clinical stress test and combined four evidence layers: a locked aggregate source registry with endpoint taxonomy, an organ-specific strict immune-related adverse event (irAE) estimability audit, an exact-match openFDA pharmacovigilance reporting-signal layer, and an external patient-level irAE-linked melanoma PBMC RNA-seq molecular-support cohort.</w:t>
      </w:r>
      <w:r>
        <w:t xml:space="preserve"> </w:t>
      </w:r>
      <w:r>
        <w:rPr>
          <w:b/>
          <w:bCs/>
        </w:rPr>
        <w:t xml:space="preserve">Results:</w:t>
      </w:r>
      <w:r>
        <w:t xml:space="preserve"> </w:t>
      </w:r>
      <w:r>
        <w:t xml:space="preserve">The registry contained 384 endpoint-labelled rows across 36 study/source blocks; 71 were endpoint-compatible for primary pooling and 313 were sensitivity, audit or context evidence. Broad high-grade treatment-related adverse events showed a visible but heterogeneous sensitivity-only contrast: lymphoma 19.1% (95% CI 6.1-46.4; prediction interval 1.4-80.2; k=4) versus solid tumors 31.1% (95% CI 20.2-44.6; prediction interval 4.7-80.5; k=14). Strict organ-specific irAE inference was mostly not estimable, with 18 of 23 organ-by-grade strata unsuitable for lineage-wide pooling. An openFDA exact-match layer generated 80 agent-by-event-family reporting-signal rows and illustrated a pharmacovigilance phenotype distinct from incidence-based trial endpoints; these signals were not interpreted as incidence, exposed-patient risk, tumor-lineage risk or adjudicated irAE rates. In an external melanoma PBMC cohort, severe irAE status showed 4 unadjusted FDR-significant immune-signature associations among 21 severe versus 39 grade 0-2 samples; none remained FDR-significant in exploratory models that included combination-therapy indicator.</w:t>
      </w:r>
      <w:r>
        <w:t xml:space="preserve"> </w:t>
      </w:r>
      <w:r>
        <w:rPr>
          <w:b/>
          <w:bCs/>
        </w:rPr>
        <w:t xml:space="preserve">Conclusions:</w:t>
      </w:r>
      <w:r>
        <w:t xml:space="preserve"> </w:t>
      </w:r>
      <w:r>
        <w:t xml:space="preserve">ICI toxicity differences are phenotype-dependent across evidence systems: broad high-grade safety burden, mostly non-estimable strict organ-specific irAE lineage comparison, pharmacovigilance reporting signals, and therapy-confounded patient-level molecular support. Current evidence does not support intrinsic lymphoma-versus-solid lineage causality.</w:t>
      </w:r>
    </w:p>
    <w:bookmarkEnd w:id="9"/>
    <w:bookmarkStart w:id="10" w:name="introduction"/>
    <w:p>
      <w:pPr>
        <w:pStyle w:val="Heading2"/>
      </w:pPr>
      <w:r>
        <w:t xml:space="preserve">Introduction</w:t>
      </w:r>
    </w:p>
    <w:p>
      <w:pPr>
        <w:pStyle w:val="FirstParagraph"/>
      </w:pPr>
      <w:r>
        <w:t xml:space="preserve">ICI safety has become a central issue in oncology because the same immune activation that can produce durable tumor control can also produce inflammatory toxicity, and major oncology guidance documents emphasize that immune-related adverse events can affect many organ systems and require phenotype-specific management [35-37]. Cross-tumor toxicity comparisons are increasingly used when clinicians interpret trial safety tables, counsel patients and design combination regimens. Yet the apparent simplicity of a question such as whether lymphoma and solid-tumor ICI studies show different toxicity burdens hides a measurement problem. Published pivotal trial and source documents do not report one interchangeable toxicity endpoint [1-33]. They report strict irAE, immune-mediated AE, adverse events of special interest, treatment-related AE, selected adverse events, registry signals and regulatory safety rows, each with different attribution rules and clinical meaning.</w:t>
      </w:r>
    </w:p>
    <w:p>
      <w:pPr>
        <w:pStyle w:val="BodyText"/>
      </w:pPr>
      <w:r>
        <w:t xml:space="preserve">This distinction is not semantic. Broad high-grade treatment-related AE captures regimen-level safety burden and includes events related to cytotoxic chemotherapy, laboratory abnormalities and non-inflammatory treatment effects. Strict organ-specific irAE is closer to the inflammatory toxicity construct clinicians usually mean when discussing immune toxicity. Treatment architecture captures a different phenotype again: the toxicity burden associated with concurrent chemotherapy-ICI, no cytotoxic chemotherapy, dual checkpoint blockade or sequential regimens. Molecular or perturbational data do not estimate clinical incidence, but they can test whether toxicity phenotypes have plausible immune correlates.</w:t>
      </w:r>
    </w:p>
    <w:p>
      <w:pPr>
        <w:pStyle w:val="BodyText"/>
      </w:pPr>
      <w:r>
        <w:t xml:space="preserve">The lymphoma-versus-solid tumor comparison is a useful stress test because it is clinically plausible but vulnerable to overinterpretation. Lymphoma is not simply an immune-deficient comparator; it is an immune-context remodeling setting with lineage-specific biology, subtype heterogeneity and distinct treatment architecture. Solid-tumor ICI evidence is larger but dominated by different regimens, endpoint conventions and source tiers. A conventional all-row toxicity meta-analysis would therefore risk answering an undefined question.</w:t>
      </w:r>
    </w:p>
    <w:p>
      <w:pPr>
        <w:pStyle w:val="BodyText"/>
      </w:pPr>
      <w:r>
        <w:t xml:space="preserve">We reframed the problem as ICI toxicity phenotype decomposition. The aim was to determine whether the answer to a cross-tumor toxicity comparison changes when the endpoint is decomposed into broad safety burden, strict organ-specific inflammatory toxicity, architecture-associated toxicity and patient-level immune-correlate phenotypes. This positions the study as a secondary translational evidence analysis rather than a traditional meta-analysis, pure bioinformatics paper or narrative review.</w:t>
      </w:r>
    </w:p>
    <w:bookmarkEnd w:id="10"/>
    <w:bookmarkStart w:id="20" w:name="methods"/>
    <w:p>
      <w:pPr>
        <w:pStyle w:val="Heading2"/>
      </w:pPr>
      <w:r>
        <w:t xml:space="preserve">Methods</w:t>
      </w:r>
    </w:p>
    <w:bookmarkStart w:id="11" w:name="study-design-and-evidence-layers"/>
    <w:p>
      <w:pPr>
        <w:pStyle w:val="Heading3"/>
      </w:pPr>
      <w:r>
        <w:t xml:space="preserve">Study design and evidence layers</w:t>
      </w:r>
    </w:p>
    <w:p>
      <w:pPr>
        <w:pStyle w:val="FirstParagraph"/>
      </w:pPr>
      <w:r>
        <w:t xml:space="preserve">We performed an endpoint-stratified translational evidence analysis using locked source files and public data. The study had four layers. The aggregate clinical layer characterized endpoint-labelled ICI safety rows and generated endpoint-compatible pooled estimates only where exchangeability was defensible. The organ-specific layer audited whether strict inflammatory irAE comparisons were estimable across lineages. The pharmacovigilance layer queried openFDA drug/event data as an external reporting-signal phenotype layer. The patient-level molecular support layer tested whether severe irAE, as a toxicity phenotype, was associated with immune transcriptomic signatures when sample-level toxicity labels and molecular profiles were jointly available.</w:t>
      </w:r>
    </w:p>
    <w:bookmarkEnd w:id="11"/>
    <w:bookmarkStart w:id="12" w:name="Xb5f93f9d9a70bff7a4c9b3a4e7eac0379a325bf"/>
    <w:p>
      <w:pPr>
        <w:pStyle w:val="Heading3"/>
      </w:pPr>
      <w:r>
        <w:t xml:space="preserve">Source identification, screening and extraction</w:t>
      </w:r>
    </w:p>
    <w:p>
      <w:pPr>
        <w:pStyle w:val="FirstParagraph"/>
      </w:pPr>
      <w:r>
        <w:t>This was not designed as a conventional single-endpoint systematic review. Instead, we built a prespecified source registry for toxicity phenotype decomposition from pivotal ICI trial reports, trial appendices, regulatory or manufacturer safety sources, trial registries, selected post-hoc safety reports and public molecular datasets. Source blocks were eligible when an ICI-containing treatment arm or source-level ICI safety table could be resolved to tumor lineage, tumor type, regimen, ICI class, endpoint label, grade threshold, safety denominator and source tier. Rows were excluded from primary pooling when the endpoint label, denominator, grade threshold, quantitative role or source independence was incompatible with the target phenotype; these rows were retained as sensitivity, audit or context evidence rather than discarded. Multiple reports from the same trial or source family were treated as one source block when they represented overlapping safety evidence, and appendices or regulatory rows were used for endpoint clarification rather than unrestricted duplication. The registry was not intended to exhaust every ICI trial ever published, but to capture source blocks relevant to the prespecified lymphoma-versus-solid tumor stress test and toxicity phenotype layers. Extraction was performed by one analyst using locked row-level files and computational audits; the absence of independent dual extraction is a limitation of the current package.</w:t>
      </w:r>
    </w:p>
    <w:bookmarkEnd w:id="12"/>
    <w:bookmarkStart w:id="13" w:name="aggregate-source-registry"/>
    <w:p>
      <w:pPr>
        <w:pStyle w:val="Heading3"/>
      </w:pPr>
      <w:r>
        <w:t xml:space="preserve">Aggregate source registry</w:t>
      </w:r>
    </w:p>
    <w:p>
      <w:pPr>
        <w:pStyle w:val="FirstParagraph"/>
      </w:pPr>
      <w:r>
        <w:t xml:space="preserve">The aggregate registry used source rows nested within study/source blocks. Each row captured study name, trial identifier when available, tumor lineage, tumor type, lymphoma subtype when applicable, regimen, ICI agent and class, chemotherapy context, timing architecture, steroid-core regimen status, endpoint label in the source, endpoint taxonomy, safety denominator, event count, rate, grade, source tier, quantitative role, source file or URL, extraction note and eligibility for primary pooling. The registry contained 384 rows across 36 source blocks. Endpoint classes were distributed as strict irAE (101 rows), immune-mediated AE/imAE (71 rows), registry audit only (56 rows), regulatory sensitivity (50 rows), context only (31 rows), subgroup/post-hoc sensitivity (29 rows), selected AE sensitivity (28 rows) and treatment-related AE (18 rows).</w:t>
      </w:r>
    </w:p>
    <w:bookmarkEnd w:id="13"/>
    <w:bookmarkStart w:id="14" w:name="X457804452fd9e4bfdd88c996451729723264a50"/>
    <w:p>
      <w:pPr>
        <w:pStyle w:val="Heading3"/>
      </w:pPr>
      <w:r>
        <w:t xml:space="preserve">Endpoint taxonomy and pooling eligibility</w:t>
      </w:r>
    </w:p>
    <w:p>
      <w:pPr>
        <w:pStyle w:val="FirstParagraph"/>
      </w:pPr>
      <w:r>
        <w:t xml:space="preserve">Endpoint taxonomy separated strict irAE, immune-mediated AE/imAE, adverse events of special interest, treatment-related AE, selected AE sensitivity, regulatory sensitivity, registry audit only, subgroup/post-hoc sensitivity and context-only rows. Endpoint-compatible pooled estimates were retained only when endpoint label, grade threshold, denominator and quantitative role were compatible. Rows that were not primary-pooling compatible were retained for source coverage, sensitivity analysis, organ-specific estimability or context. High-grade treatment-related AE was analyzed as broad safety burden and was not interpreted as strict inflammatory irAE.</w:t>
      </w:r>
    </w:p>
    <w:bookmarkEnd w:id="14"/>
    <w:bookmarkStart w:id="15" w:name="X10d36e6f5dcbb76101a123122c974c5680e0edb"/>
    <w:p>
      <w:pPr>
        <w:pStyle w:val="Heading3"/>
      </w:pPr>
      <w:r>
        <w:t xml:space="preserve">Clinical synthesis and architecture sensitivity</w:t>
      </w:r>
    </w:p>
    <w:p>
      <w:pPr>
        <w:pStyle w:val="FirstParagraph"/>
      </w:pPr>
      <w:r>
        <w:t>Endpoint-compatible pooled estimates used random-effects meta-analysis with restricted maximum likelihood (REML) estimation. Pooled estimates report k, total events, total safety denominator, pooled rate, 95% confidence interval, prediction interval and heterogeneity. Architecture sensitivity separated concurrent chemotherapy context, no-cytotoxic-chemotherapy context and ICI-before-chemotherapy context. Architecture strata were interpreted as exposure-context associations, not causal timing effects.</w:t>
      </w:r>
    </w:p>
    <w:bookmarkEnd w:id="15"/>
    <w:bookmarkStart w:id="16" w:name="X9e051f664679161e4cd24087ef30aedc4a5fcf4"/>
    <w:p>
      <w:pPr>
        <w:pStyle w:val="Heading3"/>
      </w:pPr>
      <w:r>
        <w:t xml:space="preserve">Organ-specific strict irAE estimability audit</w:t>
      </w:r>
    </w:p>
    <w:p>
      <w:pPr>
        <w:pStyle w:val="FirstParagraph"/>
      </w:pPr>
      <w:r>
        <w:t xml:space="preserve">The organ-specific audit evaluated organ system and grade strata for total rows, strict irAE rows, primary-compatible rows, lymphoma rows, solid-tumor rows, source blocks, source tiers, endpoint layers and source concentration. A stratum was labelled not estimable when there were no compatible strict irAE rows, fewer than two independent source blocks in at least one lineage, sparse compatible rows, source concentration or incompatible endpoint layers. This audit was designed to identify where lineage-wide strict irAE pooling was blocked rather than to force a pooled estimate.</w:t>
      </w:r>
    </w:p>
    <w:bookmarkEnd w:id="16"/>
    <w:bookmarkStart w:id="17" w:name="X36201f1d6fc6b5a2fbfb556edcf2cd85e51d569"/>
    <w:p>
      <w:pPr>
        <w:pStyle w:val="Heading3"/>
      </w:pPr>
      <w:r>
        <w:t xml:space="preserve">openFDA pharmacovigilance reporting-signal layer</w:t>
      </w:r>
    </w:p>
    <w:p>
      <w:pPr>
        <w:pStyle w:val="FirstParagraph"/>
      </w:pPr>
      <w:r>
        <w:t>We queried the public openFDA drug/event API [38] on 2026-06-28 as an external pharmacovigilance sensitivity layer. The analysis used locked agent aliases from</w:t>
      </w:r>
      <w:r>
        <w:t xml:space="preserve"> </w:t>
      </w:r>
      <w:r>
        <w:rPr>
          <w:rStyle w:val="VerbatimChar"/>
        </w:rPr>
        <w:t xml:space="preserve">data/faers_ici_aliases_v3_7.csv</w:t>
      </w:r>
      <w:r>
        <w:t xml:space="preserve"> </w:t>
      </w:r>
      <w:r>
        <w:t xml:space="preserve">and locked irAE reporting-family preferred-term sets from</w:t>
      </w:r>
      <w:r>
        <w:t xml:space="preserve"> </w:t>
      </w:r>
      <w:r>
        <w:rPr>
          <w:rStyle w:val="VerbatimChar"/>
        </w:rPr>
        <w:t xml:space="preserve">data/faers_irae_pt_families_v3_7.csv</w:t>
      </w:r>
      <w:r>
        <w:t xml:space="preserve">. These files defined 10 marketed ICI agents and 8 prespecified reporting families chosen to cover the agents and event families represented in the project scope. Matching was exact on</w:t>
      </w:r>
      <w:r>
        <w:t xml:space="preserve"> </w:t>
      </w:r>
      <w:r>
        <w:rPr>
          <w:rStyle w:val="VerbatimChar"/>
        </w:rPr>
        <w:t xml:space="preserve">patient.drug.medicinalproduct.exact</w:t>
      </w:r>
      <w:r>
        <w:t xml:space="preserve"> </w:t>
      </w:r>
      <w:r>
        <w:t xml:space="preserve">and</w:t>
      </w:r>
      <w:r>
        <w:t xml:space="preserve"> </w:t>
      </w:r>
      <w:r>
        <w:rPr>
          <w:rStyle w:val="VerbatimChar"/>
        </w:rPr>
        <w:t xml:space="preserve">patient.reaction.reactionmeddrapt.exact</w:t>
      </w:r>
      <w:r>
        <w:t xml:space="preserve">. No restriction to primary-suspect or suspect-drug role was applied; therefore, the openFDA layer captures drug/event co-reporting rather than adjudicated drug attribution.</w:t>
      </w:r>
    </w:p>
    <w:p>
      <w:pPr>
        <w:pStyle w:val="BodyText"/>
      </w:pPr>
      <w:r>
        <w:t>For each agent-family cell, we constructed a 2x2 reporting table: reports containing both the agent and event family, reports containing the agent without the family, reports containing the family without the agent, and all other drug/event reports in the openFDA database. Reporting odds ratios (RORs) and 95% confidence intervals used a 0.5 continuity correction. No formal multiplicity-adjusted hypothesis-testing claim was made because this layer was prespecified as descriptive pharmacovigilance reporting-signal evidence, not as a clinical-risk model. No minimum report-count threshold was applied; cells with fewer than 10 reports are flagged as unstable in the output table. We analyzed report-level records returned by the openFDA API as queried. No additional case-version deduplication was performed beyond the API-returned structure. High RORs with small report counts were interpreted cautiously as signal flags. This layer was not used to estimate incidence, exposed-patient risk, tumor-lineage risk, organ-specific adjudicated irAE rates, steroid mediation or causal effects because openFDA does not provide exposed-patient denominators, harmonized oncology indication denominators, complete tumor-type labels or adjudicated irAE attribution.</w:t>
      </w:r>
    </w:p>
    <w:bookmarkEnd w:id="17"/>
    <w:bookmarkStart w:id="18" w:name="X06c28f6dd84971ed0c48efb245cbdfabfd60429"/>
    <w:p>
      <w:pPr>
        <w:pStyle w:val="Heading3"/>
      </w:pPr>
      <w:r>
        <w:t xml:space="preserve">Patient-level irAE-linked transcriptomic molecular support</w:t>
      </w:r>
    </w:p>
    <w:p>
      <w:pPr>
        <w:pStyle w:val="FirstParagraph"/>
      </w:pPr>
      <w:r>
        <w:t xml:space="preserve">The external patient-level molecular support layer used the public Lozano/GSE186144-GSE186143 melanoma PBMC bulk RNA-seq cohort [34]. GEO metadata were parsed for patient identifier, diagnosis, therapy type and highest irAE grade. Healthy controls and melanoma samples without irAE grade were excluded. Severe irAE was defined as highest grade &gt;=3 and compared with grade 0-2. Locked immune signatures were scored as mean gene-wise z-scores over log2(TPM+1) expression. We estimated median severe-minus-non-severe deltas, bootstrap confidence intervals, Mann-Whitney P values, Benjamini-Hochberg FDR q values and Cliff’s delta. Leave-one-sample analysis tested direction stability. Therapy-type subgroup analysis was descriptive because severe events were sparse in anti-PD-1 monotherapy. We also fit exploratory per-signature logistic models of severe irAE status including signature score and combination-therapy indicator; these models were used only as confounding sensitivity analyses because sample size and therapy imbalance limited inference.</w:t>
      </w:r>
    </w:p>
    <w:bookmarkEnd w:id="18"/>
    <w:bookmarkStart w:id="19" w:name="interpretation-standard"/>
    <w:p>
      <w:pPr>
        <w:pStyle w:val="Heading3"/>
      </w:pPr>
      <w:r>
        <w:t xml:space="preserve">Interpretation standard</w:t>
      </w:r>
    </w:p>
    <w:p>
      <w:pPr>
        <w:pStyle w:val="FirstParagraph"/>
      </w:pPr>
      <w:r>
        <w:t xml:space="preserve">We replaced internal claim-gate language with a toxicity phenotype interpretation standard. For each phenotype class, the standard defines minimum endpoint requirements, allowed inference, forbidden inference and the patient-level fields required for future definitive studies. This standard is not a new statistical method; it is a structured interpretation framework derived from the empirical source audit and molecular-support layers.</w:t>
      </w:r>
    </w:p>
    <w:bookmarkEnd w:id="19"/>
    <w:bookmarkEnd w:id="20"/>
    <w:bookmarkStart w:id="28" w:name="results"/>
    <w:p>
      <w:pPr>
        <w:pStyle w:val="Heading2"/>
      </w:pPr>
      <w:r>
        <w:t xml:space="preserve">Results</w:t>
      </w:r>
    </w:p>
    <w:bookmarkStart w:id="21" w:name="X7c96513c9a70b92e935757ca7196fa5ac3a07f0"/>
    <w:p>
      <w:pPr>
        <w:pStyle w:val="Heading3"/>
      </w:pPr>
      <w:r>
        <w:t xml:space="preserve">Public aggregate evidence separated into endpoint-defined toxicity phenotypes</w:t>
      </w:r>
    </w:p>
    <w:p>
      <w:pPr>
        <w:pStyle w:val="FirstParagraph"/>
      </w:pPr>
      <w:r>
        <w:t xml:space="preserve">The source flow showed substantial endpoint heterogeneity. Of 384 source rows, only 71 were primary-pooling compatible and 313 were sensitivity, audit or context evidence. The largest endpoint classes were strict irAE, immune-mediated AE/imAE, registry audit rows, regulatory sensitivity rows and context-only rows. This source structure means that public ICI safety evidence does not support a single omnibus toxicity estimate across all endpoint labels. Instead, the registry defines a phenotype map in which each endpoint class answers a different clinical question.</w:t>
      </w:r>
    </w:p>
    <w:bookmarkEnd w:id="21"/>
    <w:bookmarkStart w:id="22" w:name="Xfa7b6f83c4d8d43d1b918d5cc152adcca5b1d72"/>
    <w:p>
      <w:pPr>
        <w:pStyle w:val="Heading3"/>
      </w:pPr>
      <w:r>
        <w:t xml:space="preserve">Broad high-grade treatment-related toxicity showed a visible but heterogeneous contrast</w:t>
      </w:r>
    </w:p>
    <w:p>
      <w:pPr>
        <w:pStyle w:val="FirstParagraph"/>
      </w:pPr>
      <w:r>
        <w:t xml:space="preserve">The broad high-grade treatment-related AE phenotype showed a solid-tumor-higher safety-burden contrast. Lymphoma arms had a pooled rate of 19.1% (95% CI 6.1-46.4; prediction interval 1.4-80.2; k=4; events=75/N=462; </w:t>
      </w:r>
      <w:r>
        <w:rPr>
          <w:vertAlign w:val="superscript"/>
        </w:rPr>
        <w:t xml:space="preserve">2</w:t>
      </w:r>
      <w:r>
        <w:t xml:space="preserve">=95.2%). Solid-tumor arms had a pooled rate of 31.1% (95% CI 20.2-44.6; prediction interval 4.7-80.5; k=14; events=2237/N=5130; </w:t>
      </w:r>
      <w:r>
        <w:rPr>
          <w:vertAlign w:val="superscript"/>
        </w:rPr>
        <w:t xml:space="preserve">2</w:t>
      </w:r>
      <w:r>
        <w:t xml:space="preserve">=98.7%). This contrast is clinically interpretable as broad high-grade safety burden, but not as a strict inflammatory irAE contrast. The wide prediction intervals and high heterogeneity are central to the interpretation.</w:t>
      </w:r>
    </w:p>
    <w:bookmarkEnd w:id="22"/>
    <w:bookmarkStart w:id="23" w:name="X2d45ea409acf634f5afa87feb909ccf2cf40737"/>
    <w:p>
      <w:pPr>
        <w:pStyle w:val="Heading3"/>
      </w:pPr>
      <w:r>
        <w:t xml:space="preserve">Strict organ-specific irAE comparison was mostly a negative estimability result</w:t>
      </w:r>
    </w:p>
    <w:p>
      <w:pPr>
        <w:pStyle w:val="FirstParagraph"/>
      </w:pPr>
      <w:r>
        <w:t xml:space="preserve">The strictest clinically relevant phenotype was organ-specific inflammatory irAE. The audit identified 341 organ-specific rows, 99 strict irAE rows and 53 primary-compatible organ-specific strict irAE rows. Across 23 organ-by-grade strata, 18 were not suitable for lineage-wide pooling and 5 were potentially descriptive only. The reasons included sparse compatible rows, source concentration, absence of compatible strict irAE rows and inadequate independent source blocks in at least one lineage. This result is scientifically important because it shows that the specific question clinicians may care about most is usually not estimable from public aggregate evidence.</w:t>
      </w:r>
    </w:p>
    <w:bookmarkEnd w:id="23"/>
    <w:bookmarkStart w:id="24" w:name="X4e5c25c8d8c252da8f710ac7d236c6471ce2fe9"/>
    <w:p>
      <w:pPr>
        <w:pStyle w:val="Heading3"/>
      </w:pPr>
      <w:r>
        <w:t xml:space="preserve">Regimen architecture defined a separate broad-toxicity phenotype</w:t>
      </w:r>
    </w:p>
    <w:p>
      <w:pPr>
        <w:pStyle w:val="FirstParagraph"/>
      </w:pPr>
      <w:r>
        <w:t xml:space="preserve">Architecture-sensitive estimates further supported phenotype decomposition. Concurrent chemotherapy-ICI context had a broad high-grade treatment-related AE pooled rate of 58.9% (95% CI 44.0-72.4; prediction interval 25.0-86.0; k=5). No-cytotoxic-chemotherapy context had a pooled rate of 17.0% (95% CI 10.2-26.9; prediction interval 2.5-61.9; k=12). The ICI-before-chemotherapy stratum contained one compatible arm and was not pooled. This layer supports architecture-aware interpretation of broad safety burden while leaving causal sequence effects for future patient-level designs.</w:t>
      </w:r>
    </w:p>
    <w:bookmarkEnd w:id="24"/>
    <w:bookmarkStart w:id="25" w:name="X8931d00985729d5e0f0ce68767fe4cdcd722837"/>
    <w:p>
      <w:pPr>
        <w:pStyle w:val="Heading3"/>
      </w:pPr>
      <w:r>
        <w:t xml:space="preserve">openFDA separated pharmacovigilance reporting signals from incidence endpoints</w:t>
      </w:r>
    </w:p>
    <w:p>
      <w:pPr>
        <w:pStyle w:val="FirstParagraph"/>
      </w:pPr>
      <w:r>
        <w:t>The exact-match openFDA analysis queried 20,328,575 drug/event reports and generated 80 agent-by-reporting-family rows across 10 ICI agents and 8 irAE reporting families. The strongest reporting signals were observed for known agent-event associations including ipilimumab-endocrine (3086 reports; ROR 29.59, 95% CI 28.50–30.73) and pembrolizumab-endocrine (4966 reports; ROR 22.10, 95% CI 21.45–22.77). Several cells with fewer than 100 reports, notably relatlimab-neuromuscular and relatlimab-cardiac, generated high RORs that are flagged as unstable signal indicators rather than stable pharmacovigilance estimates.</w:t>
      </w:r>
    </w:p>
    <w:p>
      <w:pPr>
        <w:pStyle w:val="BodyText"/>
      </w:pPr>
      <w:r>
        <w:t xml:space="preserve">This layer strengthened the toxicity phenotype decomposition model by adding a real external database analysis, but it did not change the clinical inference boundary. openFDA reports are spontaneous pharmacovigilance reports; they do not contain exposed-patient denominators or harmonized tumor-specific adjudicated irAE outcomes. High RORs with small report counts, especially relatlimab cells, were treated as reporting-signal flags rather than stable risk estimates. Therefore, these results support a reporting-signal phenotype and should not be interpreted as incidence, comparative risk, strict irAE rate or lymphoma-versus-solid tumor causal evidence.</w:t>
      </w:r>
    </w:p>
    <w:bookmarkEnd w:id="25"/>
    <w:bookmarkStart w:id="26" w:name="X38ea0c451f341ad0fc32e5b1a1d62899defe2cb"/>
    <w:p>
      <w:pPr>
        <w:pStyle w:val="Heading3"/>
      </w:pPr>
      <w:r>
        <w:t xml:space="preserve">Patient-level severe-irAE transcriptomes supported phenotype measurability</w:t>
      </w:r>
    </w:p>
    <w:p>
      <w:pPr>
        <w:pStyle w:val="FirstParagraph"/>
      </w:pPr>
      <w:r>
        <w:t xml:space="preserve">The patient-level molecular support cohort contained 60 melanoma PBMC bulk RNA-seq samples with usable highest irAE grade labels: 21 severe irAE samples and 39 grade 0-2 samples. Across 11 locked signatures, 4 were significant at FDR &lt;0.05 in unadjusted analyses. The leading associations were cytotoxicity delta 0.664, q=0.0213; M2-like myeloid/macrophage delta 0.613, q=0.0213; MHC-II antigen presentation delta 0.754, q=0.0213; and B-cell context delta 0.522, q=0.0362. Leave-one-sample analysis did not reverse the severe-minus-non-severe direction for 11 of 11 signatures, but no signature remained FDR-significant after exploratory models included a combination-therapy indicator. Therapy-type sensitivity was descriptive because severe irAE was concentrated in combination-treated samples: Anti-PD1 3 severe versus 26 grade 0-2, and combination therapy 18 severe versus 13 grade 0-2. Exploratory therapy-adjusted logistic sensitivity identified 0 signatures with FDR q&lt;0.05 after including a combination-therapy indicator, so the patient-level layer is retained as molecular support rather than definitive evidence.</w:t>
      </w:r>
    </w:p>
    <w:p>
      <w:pPr>
        <w:pStyle w:val="BodyText"/>
      </w:pPr>
      <w:r>
        <w:t>These results do not estimate lymphoma-versus-solid causality. Their value is different: they show that toxicity phenotypes are molecularly measurable when patient-level toxicity labels and molecular profiles are linked. This strengthens the manuscript beyond an endpoint-audit study by linking aggregate estimability with patient-level molecular support, while preserving the boundary that this is not a cross-tumor biomarker model.</w:t>
      </w:r>
    </w:p>
    <w:bookmarkEnd w:id="26"/>
    <w:bookmarkStart w:id="27" w:name="X2b7a761bcc9d47ef18e3d08a616f9c070eb5028"/>
    <w:p>
      <w:pPr>
        <w:pStyle w:val="Heading3"/>
      </w:pPr>
      <w:r>
        <w:t xml:space="preserve">The phenotype interpretation standard converted limitations into future study requirements</w:t>
      </w:r>
    </w:p>
    <w:p>
      <w:pPr>
        <w:pStyle w:val="FirstParagraph"/>
      </w:pPr>
      <w:r>
        <w:t xml:space="preserve">The final output is a toxicity phenotype interpretation standard. Broad high-grade treatment-related safety burden requires grade threshold, attribution rules, denominator and regimen architecture. Strict organ-specific irAE requires organ, grade, denominator, event count and irAE adjudication. Patient-level severe-irAE biomarker phenotypes require toxicity labels linked to molecular profiles. Steroid-sensitive inflammatory programs require either paired perturbation data for biological plausibility or patient-level steroid timing, dose and outcome fields for clinical mediation testing. This standard explains what can be concluded now and what future studies must measure.</w:t>
      </w:r>
    </w:p>
    <w:bookmarkEnd w:id="27"/>
    <w:bookmarkEnd w:id="28"/>
    <w:bookmarkStart w:id="29" w:name="discussion"/>
    <w:p>
      <w:pPr>
        <w:pStyle w:val="Heading2"/>
      </w:pPr>
      <w:r>
        <w:t xml:space="preserve">Discussion</w:t>
      </w:r>
    </w:p>
    <w:p>
      <w:pPr>
        <w:pStyle w:val="FirstParagraph"/>
      </w:pPr>
      <w:r>
        <w:t xml:space="preserve">This study upgrades a difficult lymphoma-versus-solid tumor toxicity question into a phenotype-specific translational evidence analysis across clinical, pharmacovigilance and molecular evidence systems. The central finding is not that one tumor lineage has intrinsically more immune toxicity. The central finding is that the answer changes depending on which toxicity phenotype and which evidence system is being measured. Broad high-grade treatment-related toxicity shows a visible but heterogeneous safety-burden contrast. Strict organ-specific inflammatory irAE is mostly not estimable from public aggregate data. openFDA identifies drug-event reporting-signal phenotypes but cannot estimate incidence or lineage risk. Patient-level melanoma PBMC transcriptomes provide therapy-confounded molecular support that severe-irAE phenotypes can be measured when toxicity labels and molecular profiles are linked.</w:t>
      </w:r>
    </w:p>
    <w:p>
      <w:pPr>
        <w:pStyle w:val="BodyText"/>
      </w:pPr>
      <w:r>
        <w:t xml:space="preserve">This distinction matters clinically. Broad high-grade treatment-related AE is relevant for treatment counseling, regimen selection and supportive-care planning, but it is not a pure inflammatory irAE endpoint. Strict organ-specific irAE is more relevant for immune-toxicity biology and organ-specific risk prediction, but the public aggregate evidence is sparse and source-concentrated. Architecture-associated toxicity is clinically useful for interpreting combination regimens, but aggregate arm-level data cannot identify causal timing effects. Patient-level biomarker support is translationally informative, but melanoma-only data cannot settle cross-lineage causality.</w:t>
      </w:r>
    </w:p>
    <w:p>
      <w:pPr>
        <w:pStyle w:val="BodyText"/>
      </w:pPr>
      <w:r>
        <w:t xml:space="preserve">The patient-level molecular support layer, anchored to a published melanoma irAE molecular study [34], is an important scientific strengthening relative to a pure evidence framework. It shows that phenotype decomposition is not only a reporting exercise. Severe irAE is associated with immune programs related to cytotoxicity, M2-like myeloid/macrophage inflammation, MHC-II antigen presentation and B-cell context after FDR control. These associations are exploratory and therapy-confounded; the therapy-adjusted sensitivity is therefore reported as a robustness check rather than proof of an independent biomarker effect. Together, they demonstrate the feasibility and value of linking toxicity labels to molecular profiles. Future studies can extend this design across tumor types and regimens.</w:t>
      </w:r>
    </w:p>
    <w:p>
      <w:pPr>
        <w:pStyle w:val="BodyText"/>
      </w:pPr>
      <w:r>
        <w:t xml:space="preserve">The lymphoma setting should be interpreted as an immune-context remodeling case rather than as a simple low-immune comparator. Lymphoma trials often differ from solid-tumor ICI trials in disease biology, prior therapy, regimen architecture, steroid exposure context, endpoint terminology and source availability. These factors can change which toxicity phenotype is observed. The current evidence therefore supports hypothesis generation and study design, not intrinsic lineage conclusions.</w:t>
      </w:r>
    </w:p>
    <w:p>
      <w:pPr>
        <w:pStyle w:val="BodyText"/>
      </w:pPr>
      <w:r>
        <w:t xml:space="preserve">The study has limitations. The aggregate registry depends on public source reporting and inherits heterogeneity in follow-up, attribution, grade thresholds and endpoint definitions. Pooled high-grade treatment-related AE estimates have high heterogeneity and broad prediction intervals. Organ-specific strict irAE strata are frequently sparse. The openFDA layer is subject to spontaneous-reporting bias, duplicate or incomplete reporting, missing exposed-patient denominators, missing tumor-specific denominators and non-adjudicated reaction terms. The patient-level molecular support cohort is melanoma-only, and severe irAE status is imbalanced by therapy type. Transcriptomic signatures were locked and biologically motivated, but they are not a substitute for prospective adjudicated irAE phenotyping. Steroid-sensitive perturbation evidence supports biology but not patient-level clinical mediation.</w:t>
      </w:r>
    </w:p>
    <w:p>
      <w:pPr>
        <w:pStyle w:val="BodyText"/>
      </w:pPr>
      <w:r>
        <w:t xml:space="preserve">The practical implication is that future ICI safety studies should define the toxicity phenotype before estimating cross-tumor differences. A definitive patient-level study would require harmonized time zero, tumor type, ICI class, regimen architecture, line of therapy, organ-specific irAE adjudication, grade, onset time, management, steroid timing/dose/duration, recurrence, follow-up and immune-context biomarkers. Without these fields, aggregate evidence can identify broad safety-burden patterns but cannot resolve strict inflammatory or causal questions.</w:t>
      </w:r>
    </w:p>
    <w:p>
      <w:pPr>
        <w:pStyle w:val="BodyText"/>
      </w:pPr>
      <w:r>
        <w:t xml:space="preserve">In conclusion, ICI toxicity is best treated as a decomposable phenotype space rather than a single incidence endpoint. Public aggregate evidence supports a broad high-grade safety-burden contrast and reveals that strict organ-specific irAE lineage comparison is mostly non-estimable. Patient-level irAE-linked transcriptomic data support biological measurability of severe-irAE phenotypes. The appropriate contribution is a translational evidence model for interpreting and designing future cross-tumor ICI toxicity studies.</w:t>
      </w:r>
    </w:p>
    <w:bookmarkEnd w:id="29"/>
    <w:bookmarkStart w:id="30" w:name="figure-legends"/>
    <w:p>
      <w:pPr>
        <w:pStyle w:val="Heading2"/>
      </w:pPr>
      <w:r>
        <w:t xml:space="preserve">Figure Legends</w:t>
      </w:r>
    </w:p>
    <w:p>
      <w:pPr>
        <w:pStyle w:val="FirstParagraph"/>
      </w:pPr>
      <w:r>
        <w:rPr>
          <w:b/>
          <w:bCs/>
        </w:rPr>
        <w:t xml:space="preserve">Figure 1. Four-system ICI toxicity phenotype decomposition model.</w:t>
      </w:r>
      <w:r>
        <w:t xml:space="preserve"> </w:t>
      </w:r>
      <w:r>
        <w:t>The figure summarizes the four evidence systems used in this analysis: aggregate clinical source registry, strict organ-specific irAE estimability audit, openFDA drug/event pharmacovigilance reporting signals and patient-level PBMC molecular support. Values are script-generated from locked source files listed in the supplementary/repository index. The openFDA panel summarizes the reporting-signal layer; it does not display individual agent RORs. Dashed separators indicate that the evidence systems are not exchangeable. This figure is a conceptual schematic; it does not represent causal progression or a results summary.</w:t>
      </w:r>
    </w:p>
    <w:p>
      <w:pPr>
        <w:pStyle w:val="BodyText"/>
      </w:pPr>
      <w:r>
        <w:rPr>
          <w:b/>
          <w:bCs/>
        </w:rPr>
        <w:t xml:space="preserve">Figure 2. Phenotype-specific clinical estimates.</w:t>
      </w:r>
      <w:r>
        <w:t xml:space="preserve"> </w:t>
      </w:r>
      <w:r>
        <w:t>Broad high-grade treatment-related adverse event pooled estimates are shown by tumor lineage and chemotherapy context. Broad high-grade treatment-related adverse events are interpreted as a heterogeneous safety-burden phenotype, not strict inflammatory irAE. Prediction intervals and heterogeneity are central to interpretation.</w:t>
      </w:r>
    </w:p>
    <w:p>
      <w:pPr>
        <w:pStyle w:val="BodyText"/>
      </w:pPr>
      <w:r>
        <w:rPr>
          <w:b/>
          <w:bCs/>
        </w:rPr>
        <w:t xml:space="preserve">Figure 3. Organ-specific strict irAE estimability audit.</w:t>
      </w:r>
      <w:r>
        <w:t xml:space="preserve"> </w:t>
      </w:r>
      <w:r>
        <w:t xml:space="preserve">Organ-by-grade strata are classified by whether lineage-wide strict irAE pooling is estimable, descriptive only or not estimable. This figure supports the negative result that most strict organ-specific irAE comparisons cannot be estimated from current public aggregate evidence.</w:t>
      </w:r>
    </w:p>
    <w:p>
      <w:pPr>
        <w:pStyle w:val="BodyText"/>
      </w:pPr>
      <w:r>
        <w:rPr>
          <w:b/>
          <w:bCs/>
        </w:rPr>
        <w:t xml:space="preserve">Figure 4. openFDA exact-match pharmacovigilance reporting-signal heatmap.</w:t>
      </w:r>
      <w:r>
        <w:t xml:space="preserve"> </w:t>
      </w:r>
      <w:r>
        <w:t>Reporting odds ratios are shown for ICI agent-by-irAE reporting-family cells using exact drug and reaction fields from the FDA openFDA drug/event API. Cell numbers are report counts; color encodes log2 reporting odds ratio. Low-count high-ROR cells (e.g., &lt;100 reports) are exploratory signal flags, not stable pharmacovigilance estimates. These are spontaneous-reporting signals and must not be interpreted as incidence, exposed-patient risk, tumor-lineage risk, adjudicated irAE rates, or comparative clinical safety.</w:t>
      </w:r>
    </w:p>
    <w:p>
      <w:pPr>
        <w:pStyle w:val="BodyText"/>
      </w:pPr>
      <w:r>
        <w:rPr>
          <w:b/>
          <w:bCs/>
        </w:rPr>
        <w:t xml:space="preserve">Figure 5. External melanoma PBMC severe-irAE molecular support.</w:t>
      </w:r>
      <w:r>
        <w:t xml:space="preserve"> </w:t>
      </w:r>
      <w:r>
        <w:t>Patient-level melanoma PBMC RNA-seq data are used to test whether severe-irAE status is molecularly measurable. Unadjusted FDR-significant associations are shown together with the therapy-confounding boundary; exploratory therapy-adjusted models identified no FDR-significant signatures. Therapy-adjusted models (inset or annotation) identified no FDR-significant signatures. This layer provides molecular support, not biomarker validation or lymphoma-versus-solid causal evidence.</w:t>
      </w:r>
    </w:p>
    <w:bookmarkEnd w:id="30"/>
    <w:bookmarkStart w:id="31" w:name="data-and-code-availability"/>
    <w:p>
      <w:pPr>
        <w:pStyle w:val="Heading2"/>
      </w:pPr>
      <w:r>
        <w:t xml:space="preserve">Data and Code Availability</w:t>
      </w:r>
    </w:p>
    <w:p>
      <w:pPr>
        <w:pStyle w:val="FirstParagraph"/>
      </w:pPr>
      <w:r>
        <w:t>The locked aggregate registry, endpoint-compatible pooled estimates, organ-specific irAE compatibility audit, toxicity phenotype interpretation standard, openFDA reporting-signal outputs, patient-level molecular-support outputs and figure source data are available in the public repository: https://github.com/xutaoguo55/ici-irae-phenotype-decomposition-esmo-open-v3-10. Submission-facing package (v3.10): https://github.com/xutaoguo55/ici-irae-phenotype-decomposition-esmo-open-v3-10/releases/tag/v3.10 Repository DOI is now 10.5281/zenodo.20989857 (https://doi.org/10.5281/zenodo.20989857).</w:t>
      </w:r>
    </w:p>
    <w:bookmarkEnd w:id="31"/>
    <w:bookmarkStart w:id="32" w:name="ethics-and-reporting"/>
    <w:p>
      <w:pPr>
        <w:pStyle w:val="Heading2"/>
      </w:pPr>
      <w:r>
        <w:t xml:space="preserve">Ethics and Reporting</w:t>
      </w:r>
    </w:p>
    <w:p>
      <w:pPr>
        <w:pStyle w:val="FirstParagraph"/>
      </w:pPr>
      <w:r>
        <w:t>This study used published aggregate source information and public de-identified transcriptomic data. No new patient recruitment, intervention or access to identifiable individual data was performed. The institutional review board of Nanfang Hospital, Southern Medical University, confirmed exemption for this secondary analysis of publicly available, de-identified data (exemption confirmation; identifier not required under local policy for secondary analyses of public data).</w:t>
      </w:r>
    </w:p>
    <w:p>
      <w:pPr>
        <w:pStyle w:val="Normal"/>
      </w:pPr>
      <w:r>
        <w:t xml:space="preserve"/>
      </w:r>
    </w:p>
    <w:p>
      <w:pPr>
        <w:pStyle w:val="Heading2"/>
      </w:pPr>
      <w:r>
        <w:t xml:space="preserve">Competing Interests</w:t>
      </w:r>
    </w:p>
    <w:p>
      <w:pPr>
        <w:pStyle w:val="First Paragraph"/>
      </w:pPr>
      <w:r>
        <w:t xml:space="preserve">The authors declare no competing interests related to this work. X.G. has received honoraria for educational lectures unrelated to this study. The remaining authors declare no conflicts of interest.</w:t>
      </w:r>
    </w:p>
    <w:p>
      <w:pPr>
        <w:pStyle w:val="Normal"/>
      </w:pPr>
      <w:r>
        <w:t xml:space="preserve"/>
      </w:r>
    </w:p>
    <w:p>
      <w:pPr>
        <w:pStyle w:val="Heading2"/>
      </w:pPr>
      <w:r>
        <w:t xml:space="preserve">Funding</w:t>
      </w:r>
    </w:p>
    <w:p>
      <w:pPr>
        <w:pStyle w:val="First Paragraph"/>
      </w:pPr>
      <w:r>
        <w:t>This study was supported by institutional support from the Clinical Medical Research Center of Hematological Diseases of Guangdong Province (no specific grant number). The funder had no role in study design, data collection, analysis, interpretation, or the decision to submit for publication.</w:t>
      </w:r>
    </w:p>
    <w:p>
      <w:pPr>
        <w:pStyle w:val="Normal"/>
      </w:pPr>
      <w:r>
        <w:t xml:space="preserve"/>
      </w:r>
    </w:p>
    <w:p>
      <w:pPr>
        <w:pStyle w:val="Heading2"/>
      </w:pPr>
      <w:r>
        <w:t xml:space="preserve">Author Contributions</w:t>
      </w:r>
    </w:p>
    <w:p>
      <w:pPr>
        <w:pStyle w:val="First Paragraph"/>
      </w:pPr>
      <w:r>
        <w:t xml:space="preserve">Conceptualization: X.G., J.H.; Methodology: X.G., J.H., X.W.; Data curation and formal analysis: J.H., X.W., H.Z.; Investigation: J.H., X.W., H.Z., Q.W., Y.W., R.F.; Writing—original draft: J.H., X.G.; Writing—review &amp; editing: all authors; Supervision: X.G.; Guarantor: X.G. All authors approved the final manuscript and agree to be accountable for all aspects of the work.</w:t>
      </w:r>
    </w:p>
    <w:p>
      <w:pPr>
        <w:pStyle w:val="Normal"/>
      </w:pPr>
      <w:r>
        <w:t xml:space="preserve"/>
      </w:r>
    </w:p>
    <w:p>
      <w:pPr>
        <w:pStyle w:val="Heading2"/>
      </w:pPr>
      <w:r>
        <w:t xml:space="preserve">Word Count</w:t>
      </w:r>
    </w:p>
    <w:p>
      <w:pPr>
        <w:pStyle w:val="First Paragraph"/>
      </w:pPr>
      <w:r>
        <w:t xml:space="preserve">Abstract: 255 words. Main text (excluding abstract, figure legends, data availability, ethics, competing interests, funding, author contributions, and references): approximately 3,500 words.</w:t>
      </w:r>
    </w:p>
    <w:bookmarkEnd w:id="32"/>
    <w:bookmarkStart w:id="33" w:name="references"/>
    <w:p>
      <w:pPr>
        <w:pStyle w:val="Heading2"/>
      </w:pPr>
      <w:r>
        <w:t xml:space="preserve">References</w:t>
      </w:r>
    </w:p>
    <w:p>
      <w:pPr>
        <w:pStyle w:val="Compact"/>
        <w:numPr>
          <w:ilvl w:val="0"/>
          <w:numId w:val="1001"/>
        </w:numPr>
      </w:pPr>
      <w:r>
        <w:t xml:space="preserve">Borghaei H, Paz-Ares L, Horn L, Spigel DR, Steins M, Ready NE, et al. Nivolumab versus Docetaxel in Advanced Nonsquamous Non-Small-Cell Lung Cancer. New England Journal of Medicine. 2015;373(17):1627-1639. doi:10.1056/nejmoa1507643</w:t>
      </w:r>
    </w:p>
    <w:p>
      <w:pPr>
        <w:pStyle w:val="Compact"/>
        <w:numPr>
          <w:ilvl w:val="0"/>
          <w:numId w:val="1001"/>
        </w:numPr>
      </w:pPr>
      <w:r>
        <w:t xml:space="preserve">Brahmer J, Reckamp KL, Baas P, Crino L, Eberhardt WEE, Poddubskaya E, et al. Nivolumab versus Docetaxel in Advanced Squamous-Cell Non-Small-Cell Lung Cancer. New England Journal of Medicine. 2015;373(2):123-135. doi:10.1056/nejmoa1504627</w:t>
      </w:r>
    </w:p>
    <w:p>
      <w:pPr>
        <w:pStyle w:val="Compact"/>
        <w:numPr>
          <w:ilvl w:val="0"/>
          <w:numId w:val="1001"/>
        </w:numPr>
      </w:pPr>
      <w:r>
        <w:t xml:space="preserve">Larkin J, Chiarion-Sileni V, Gonzalez R, Grob JJ, Cowey CL, Lao CD, et al. Combined Nivolumab and Ipilimumab or Monotherapy in Untreated Melanoma. New England Journal of Medicine. 2015;373(1):23-34. doi:10.1056/nejmoa1504030</w:t>
      </w:r>
    </w:p>
    <w:p>
      <w:pPr>
        <w:pStyle w:val="Compact"/>
        <w:numPr>
          <w:ilvl w:val="0"/>
          <w:numId w:val="1001"/>
        </w:numPr>
      </w:pPr>
      <w:r>
        <w:t xml:space="preserve">Robert C, Schachter J, Long GV, Arance A, Grob JJ, Mortier L, et al. Pembrolizumab versus Ipilimumab in Advanced Melanoma. New England Journal of Medicine. 2015;372(26):2521-2532. doi:10.1056/nejmoa1503093</w:t>
      </w:r>
    </w:p>
    <w:p>
      <w:pPr>
        <w:pStyle w:val="Compact"/>
        <w:numPr>
          <w:ilvl w:val="0"/>
          <w:numId w:val="1001"/>
        </w:numPr>
      </w:pPr>
      <w:r>
        <w:t xml:space="preserve">Reck M, Rodriguez-Abreu D, Robinson AG, Hui R, Csoszi T, Fulop A, et al. Pembrolizumab versus Chemotherapy for PD-L1-Positive Non-Small-Cell Lung Cancer. New England Journal of Medicine. 2016;375(19):1823-1833. doi:10.1056/nejmoa1606774</w:t>
      </w:r>
    </w:p>
    <w:p>
      <w:pPr>
        <w:pStyle w:val="Compact"/>
        <w:numPr>
          <w:ilvl w:val="0"/>
          <w:numId w:val="1001"/>
        </w:numPr>
      </w:pPr>
      <w:r>
        <w:t xml:space="preserve">Antonia SJ, Villegas A, Daniel D, Vicente D, Murakami S, Hui R, et al. Durvalumab after Chemoradiotherapy in Stage III Non-Small-Cell Lung Cancer. New England Journal of Medicine. 2017;377(20):1919-1929. doi:10.1056/nejmoa1709937</w:t>
      </w:r>
    </w:p>
    <w:p>
      <w:pPr>
        <w:pStyle w:val="Compact"/>
        <w:numPr>
          <w:ilvl w:val="0"/>
          <w:numId w:val="1001"/>
        </w:numPr>
      </w:pPr>
      <w:r>
        <w:t xml:space="preserve">Gandhi L, Rodriguez-Abreu D, Gadgeel S, Esteban E, Felip E, De Angelis F, et al. Pembrolizumab plus Chemotherapy in Metastatic Non-Small-Cell Lung Cancer. New England Journal of Medicine. 2018;378(22):2078-2092. doi:10.1056/nejmoa1801005</w:t>
      </w:r>
    </w:p>
    <w:p>
      <w:pPr>
        <w:pStyle w:val="Compact"/>
        <w:numPr>
          <w:ilvl w:val="0"/>
          <w:numId w:val="1001"/>
        </w:numPr>
      </w:pPr>
      <w:r>
        <w:t xml:space="preserve">Motzer RJ, Tannir NM, McDermott DF, Aren Frontera O, Melichar B, Choueiri TK, et al. Nivolumab plus Ipilimumab versus Sunitinib in Advanced Renal-Cell Carcinoma. New England Journal of Medicine. 2018;378(14):1277-1290. doi:10.1056/nejmoa1712126</w:t>
      </w:r>
    </w:p>
    <w:p>
      <w:pPr>
        <w:pStyle w:val="Compact"/>
        <w:numPr>
          <w:ilvl w:val="0"/>
          <w:numId w:val="1001"/>
        </w:numPr>
      </w:pPr>
      <w:r>
        <w:t xml:space="preserve">Paz-Ares L, Luft A, Vicente D, Tafreshi A, Gumus M, Mazieres J, et al. Pembrolizumab plus Chemotherapy for Squamous Non-Small-Cell Lung Cancer. New England Journal of Medicine. 2018;379(21):2040-2051. doi:10.1056/nejmoa1810865</w:t>
      </w:r>
    </w:p>
    <w:p>
      <w:pPr>
        <w:pStyle w:val="Compact"/>
        <w:numPr>
          <w:ilvl w:val="0"/>
          <w:numId w:val="1001"/>
        </w:numPr>
      </w:pPr>
      <w:r>
        <w:t xml:space="preserve">Ramchandren R, Domingo-Domenech E, Rueda A, Trneny M, Feldman TA, Lee HJ, et al. Nivolumab for Newly Diagnosed Advanced-Stage Classic Hodgkin Lymphoma: Safety and Efficacy in the Phase II CheckMate 205 Study. Journal of Clinical Oncology. 2019;37(23):1997-2007. doi:10.1200/jco.19.00315</w:t>
      </w:r>
    </w:p>
    <w:p>
      <w:pPr>
        <w:pStyle w:val="Compact"/>
        <w:numPr>
          <w:ilvl w:val="0"/>
          <w:numId w:val="1001"/>
        </w:numPr>
      </w:pPr>
      <w:r>
        <w:t xml:space="preserve">Rini BI, Plimack ER, Stus V, Gafanov R, Hawkins R, Nosov D, et al. Pembrolizumab plus Axitinib versus Sunitinib for Advanced Renal-Cell Carcinoma. New England Journal of Medicine. 2019;380(12):1116-1127. doi:10.1056/nejmoa1816714</w:t>
      </w:r>
    </w:p>
    <w:p>
      <w:pPr>
        <w:pStyle w:val="Compact"/>
        <w:numPr>
          <w:ilvl w:val="0"/>
          <w:numId w:val="1001"/>
        </w:numPr>
      </w:pPr>
      <w:r>
        <w:t xml:space="preserve">Finn RS, Qin S, Ikeda M, Galle PR, Ducreux M, Kim TY, et al. Atezolizumab plus Bevacizumab in Unresectable Hepatocellular Carcinoma. New England Journal of Medicine. 2020;382(20):1894-1905. doi:10.1056/nejmoa1915745</w:t>
      </w:r>
    </w:p>
    <w:p>
      <w:pPr>
        <w:pStyle w:val="Compact"/>
        <w:numPr>
          <w:ilvl w:val="0"/>
          <w:numId w:val="1001"/>
        </w:numPr>
      </w:pPr>
      <w:r>
        <w:t xml:space="preserve">Powles T, Park SH, Voog E, Caserta C, Valderrama BP, Gurney H, et al. Avelumab Maintenance Therapy for Advanced or Metastatic Urothelial Carcinoma. New England Journal of Medicine. 2020;383(13):1218-1230. doi:10.1056/nejmoa2002788</w:t>
      </w:r>
    </w:p>
    <w:p>
      <w:pPr>
        <w:pStyle w:val="Compact"/>
        <w:numPr>
          <w:ilvl w:val="0"/>
          <w:numId w:val="1001"/>
        </w:numPr>
      </w:pPr>
      <w:r>
        <w:t xml:space="preserve">Schmid P, Cortes J, Pusztai L, McArthur H, Kummel S, Bergh J, et al. Pembrolizumab for Early Triple-Negative Breast Cancer. New England Journal of Medicine. 2020;382(9):810-821. doi:10.1056/nejmoa1910549</w:t>
      </w:r>
    </w:p>
    <w:p>
      <w:pPr>
        <w:pStyle w:val="Compact"/>
        <w:numPr>
          <w:ilvl w:val="0"/>
          <w:numId w:val="1001"/>
        </w:numPr>
      </w:pPr>
      <w:r>
        <w:t xml:space="preserve">Allen PB, Savas H, Evens AM, Advani RH, Palmer B, Pro B, et al. Pembrolizumab followed by AVD in untreated early unfavorable and advanced-stage classical Hodgkin lymphoma. Blood. 2021;137(10):1318-1326. doi:10.1182/blood.2020007400</w:t>
      </w:r>
    </w:p>
    <w:p>
      <w:pPr>
        <w:pStyle w:val="Compact"/>
        <w:numPr>
          <w:ilvl w:val="0"/>
          <w:numId w:val="1001"/>
        </w:numPr>
      </w:pPr>
      <w:r>
        <w:t xml:space="preserve">Choueiri TK, Tomczak P, Park SH, Venugopal B, Ferguson T, Chang YH, et al. Adjuvant Pembrolizumab after Nephrectomy in Renal-Cell Carcinoma. New England Journal of Medicine. 2021;385(8):683-694. doi:10.1056/nejmoa2106391</w:t>
      </w:r>
    </w:p>
    <w:p>
      <w:pPr>
        <w:pStyle w:val="Compact"/>
        <w:numPr>
          <w:ilvl w:val="0"/>
          <w:numId w:val="1001"/>
        </w:numPr>
      </w:pPr>
      <w:r>
        <w:t xml:space="preserve">Janjigian YY, Shitara K, Moehler M, Garrido M, Salman P, Shen L, et al. First-line nivolumab plus chemotherapy versus chemotherapy alone for advanced gastric, gastro-oesophageal junction, and oesophageal adenocarcinoma (CheckMate 649): a randomised, open-label, phase 3 trial. The Lancet. 2021;398(10294):27-40. doi:10.1016/s0140-6736(21)00797-2</w:t>
      </w:r>
    </w:p>
    <w:p>
      <w:pPr>
        <w:pStyle w:val="Compact"/>
        <w:numPr>
          <w:ilvl w:val="0"/>
          <w:numId w:val="1001"/>
        </w:numPr>
      </w:pPr>
      <w:r>
        <w:t xml:space="preserve">Kuruvilla J, Ramchandren R, Santoro A, Paszkiewicz-Kozik E, Gasiorowski R, Johnson NA, et al. Pembrolizumab versus brentuximab vedotin in relapsed or refractory classical Hodgkin lymphoma (KEYNOTE-204): an interim analysis of a multicentre, randomised, open-label, phase 3 study. The Lancet Oncology. 2021;22(4):512-524. doi:10.1016/s1470-2045(21)00005-x</w:t>
      </w:r>
    </w:p>
    <w:p>
      <w:pPr>
        <w:pStyle w:val="Compact"/>
        <w:numPr>
          <w:ilvl w:val="0"/>
          <w:numId w:val="1001"/>
        </w:numPr>
      </w:pPr>
      <w:r>
        <w:t xml:space="preserve">Moskowitz AJ, Shah G, Schoder H, Ganesan N, Drill E, Hancock H, et al. Phase II Trial of Pembrolizumab Plus Gemcitabine, Vinorelbine, and Liposomal Doxorubicin as Second-Line Therapy for Relapsed or Refractory Classical Hodgkin Lymphoma. Journal of Clinical Oncology. 2021;39(28):3109-3117. doi:10.1200/jco.21.01056</w:t>
      </w:r>
    </w:p>
    <w:p>
      <w:pPr>
        <w:pStyle w:val="Compact"/>
        <w:numPr>
          <w:ilvl w:val="0"/>
          <w:numId w:val="1001"/>
        </w:numPr>
      </w:pPr>
      <w:r>
        <w:t xml:space="preserve">Paz-Ares L, Ciuleanu TE, Cobo M, Schenker M, Zurawski B, Menezes J, et al. First-line nivolumab plus ipilimumab combined with two cycles of chemotherapy in patients with non-small-cell lung cancer (CheckMate 9LA): an international, randomised, open-label, phase 3 trial. The Lancet Oncology. 2021;22(2):198-211. doi:10.1016/s1470-2045(20)30641-0</w:t>
      </w:r>
    </w:p>
    <w:p>
      <w:pPr>
        <w:pStyle w:val="Compact"/>
        <w:numPr>
          <w:ilvl w:val="0"/>
          <w:numId w:val="1001"/>
        </w:numPr>
      </w:pPr>
      <w:r>
        <w:t xml:space="preserve">Satouchi M, Nosaki K, Takahashi T, Nakagawa K, Aoe K, Kurata T, et al. First-line pembrolizumab vs chemotherapy in metastatic non-small-cell lung cancer: KEYNOTE-024 Japan subset. Cancer Science. 2021;112(12):5000-5010. doi:10.1111/cas.15144</w:t>
      </w:r>
    </w:p>
    <w:p>
      <w:pPr>
        <w:pStyle w:val="Compact"/>
        <w:numPr>
          <w:ilvl w:val="0"/>
          <w:numId w:val="1001"/>
        </w:numPr>
      </w:pPr>
      <w:r>
        <w:t xml:space="preserve">Sezer A, Kilickap S, Gumus M, Bondarenko I, Ozguroglu M, Gogishvili M, et al. Cemiplimab monotherapy for first-line treatment of advanced non-small-cell lung cancer with PD-L1 of at least 50%: a multicentre, open-label, global, phase 3, randomised, controlled trial. The Lancet. 2021;397(10274):592-604. doi:10.1016/s0140-6736(21)00228-2</w:t>
      </w:r>
    </w:p>
    <w:p>
      <w:pPr>
        <w:pStyle w:val="Compact"/>
        <w:numPr>
          <w:ilvl w:val="0"/>
          <w:numId w:val="1001"/>
        </w:numPr>
      </w:pPr>
      <w:r>
        <w:t xml:space="preserve">Sun JM, Shen L, Shah MA, Enzinger P, Adenis A, Doi T, et al. Pembrolizumab plus chemotherapy versus chemotherapy alone for first-line treatment of advanced oesophageal cancer (KEYNOTE-590): a randomised, placebo-controlled, phase 3 study. The Lancet. 2021;398(10302):759-771. doi:10.1016/s0140-6736(21)01234-4</w:t>
      </w:r>
    </w:p>
    <w:p>
      <w:pPr>
        <w:pStyle w:val="Compact"/>
        <w:numPr>
          <w:ilvl w:val="0"/>
          <w:numId w:val="1001"/>
        </w:numPr>
      </w:pPr>
      <w:r>
        <w:t xml:space="preserve">Forde PM, Spicer J, Lu S, Provencio M, Mitsudomi T, Awad MM, et al. Neoadjuvant Nivolumab plus Chemotherapy in Resectable Lung Cancer. New England Journal of Medicine. 2022;386(21):1973-1985. doi:10.1056/nejmoa2202170</w:t>
      </w:r>
    </w:p>
    <w:p>
      <w:pPr>
        <w:pStyle w:val="Compact"/>
        <w:numPr>
          <w:ilvl w:val="0"/>
          <w:numId w:val="1001"/>
        </w:numPr>
      </w:pPr>
      <w:r>
        <w:t xml:space="preserve">Gogishvili M, Melkadze T, Makharadze T, Giorgadze D, Dvorkin M, Penkov K, et al. Cemiplimab plus chemotherapy versus chemotherapy alone in non-small cell lung cancer: a randomized, controlled, double-blind phase 3 trial. Nature Medicine. 2022;28(11):2374-2380. doi:10.1038/s41591-022-01977-y</w:t>
      </w:r>
    </w:p>
    <w:p>
      <w:pPr>
        <w:pStyle w:val="Compact"/>
        <w:numPr>
          <w:ilvl w:val="0"/>
          <w:numId w:val="1001"/>
        </w:numPr>
      </w:pPr>
      <w:r>
        <w:t xml:space="preserve">Makker V, Colombo N, Casado Herraez A, Santin AD, Colomba E, Miller DS, et al. Lenvatinib plus Pembrolizumab for Advanced Endometrial Cancer. New England Journal of Medicine. 2022;386(5):437-448. doi:10.1056/nejmoa2108330</w:t>
      </w:r>
    </w:p>
    <w:p>
      <w:pPr>
        <w:pStyle w:val="Compact"/>
        <w:numPr>
          <w:ilvl w:val="0"/>
          <w:numId w:val="1001"/>
        </w:numPr>
      </w:pPr>
      <w:r>
        <w:t xml:space="preserve">Mei MG, Lee HJ, Palmer JM, Chen R, Tsai NC, Chen L, et al. Response-adapted anti-PD-1-based salvage therapy for Hodgkin lymphoma with nivolumab alone or in combination with ICE. Blood. 2022;139(25):3605-3616. doi:10.1182/blood.2022015423</w:t>
      </w:r>
    </w:p>
    <w:p>
      <w:pPr>
        <w:pStyle w:val="Compact"/>
        <w:numPr>
          <w:ilvl w:val="0"/>
          <w:numId w:val="1001"/>
        </w:numPr>
      </w:pPr>
      <w:r>
        <w:t xml:space="preserve">Naidoo J, Vansteenkiste JF, Faivre-Finn C, Ozguroglu M, Murakami S, Hui R, et al. Characterizing immune-mediated adverse events with durvalumab in patients with unresectable stage III NSCLC: A post-hoc analysis of the PACIFIC trial. Lung Cancer. 2022;166:84-93. doi:10.1016/j.lungcan.2022.02.003</w:t>
      </w:r>
    </w:p>
    <w:p>
      <w:pPr>
        <w:pStyle w:val="Compact"/>
        <w:numPr>
          <w:ilvl w:val="0"/>
          <w:numId w:val="1001"/>
        </w:numPr>
      </w:pPr>
      <w:r>
        <w:t xml:space="preserve">Armand P, Zinzani PL, Lee HJ, Johnson NA, Brice P, Radford J, et al. Five-year follow-up of KEYNOTE-087: pembrolizumab monotherapy for relapsed/refractory classical Hodgkin lymphoma. Blood. 2023;142(10):878-886. doi:10.1182/blood.2022019386</w:t>
      </w:r>
    </w:p>
    <w:p>
      <w:pPr>
        <w:pStyle w:val="Compact"/>
        <w:numPr>
          <w:ilvl w:val="0"/>
          <w:numId w:val="1001"/>
        </w:numPr>
      </w:pPr>
      <w:r>
        <w:t xml:space="preserve">Garassino MC, Gadgeel S, Speranza G, Felip E, Esteban E, Domine M, et al. Pembrolizumab Plus Pemetrexed and Platinum in Nonsquamous Non-Small-Cell Lung Cancer: 5-Year Outcomes From the Phase 3 KEYNOTE-189 Study. Journal of Clinical Oncology. 2023;41(11):1992-1998. doi:10.1200/jco.22.01989</w:t>
      </w:r>
    </w:p>
    <w:p>
      <w:pPr>
        <w:pStyle w:val="Compact"/>
        <w:numPr>
          <w:ilvl w:val="0"/>
          <w:numId w:val="1001"/>
        </w:numPr>
      </w:pPr>
      <w:r>
        <w:t xml:space="preserve">Novello S, Kowalski DM, Luft A, Gumus M, Vicente D, Mazieres J, et al. Pembrolizumab Plus Chemotherapy in Squamous Non-Small-Cell Lung Cancer: 5-Year Update of the Phase III KEYNOTE-407 Study. Journal of Clinical Oncology. 2023;41(11):1999-2006. doi:10.1200/jco.22.01990</w:t>
      </w:r>
    </w:p>
    <w:p>
      <w:pPr>
        <w:pStyle w:val="Compact"/>
        <w:numPr>
          <w:ilvl w:val="0"/>
          <w:numId w:val="1001"/>
        </w:numPr>
      </w:pPr>
      <w:r>
        <w:t xml:space="preserve">Zinzani PL, Thieblemont C, Melnichenko V, Bouabdallah K, Walewski J, Majlis A, et al. Pembrolizumab in Relapsed or Refractory Primary Mediastinal Large B-Cell Lymphoma: Final Analysis of KEYNOTE-170. Blood. 2023;142(2):141-145. doi:10.1182/blood.2022019340</w:t>
      </w:r>
    </w:p>
    <w:p>
      <w:pPr>
        <w:pStyle w:val="Compact"/>
        <w:numPr>
          <w:ilvl w:val="0"/>
          <w:numId w:val="1001"/>
        </w:numPr>
      </w:pPr>
      <w:r>
        <w:t xml:space="preserve">Park SH, Chang YH, Lee JL, Choueiri TK, Kimura G, Chung J, et al. Adjuvant Pembrolizumab Versus Placebo for Renal Cell Carcinoma in the East Asian Subgroup of the Phase 3 KEYNOTE-564 Study. Cancer Research and Treatment. 2026;58(2):613-621. doi:10.4143/crt.2025.365</w:t>
      </w:r>
    </w:p>
    <w:p>
      <w:pPr>
        <w:pStyle w:val="Compact"/>
        <w:numPr>
          <w:ilvl w:val="0"/>
          <w:numId w:val="1001"/>
        </w:numPr>
      </w:pPr>
      <w:r>
        <w:t xml:space="preserve">Lozano AX, Chaudhuri AA, Nene A, Bacchiocchi A, Earland N, Vesely MD, et al. T cell characteristics associated with toxicity to immune checkpoint blockade in patients with melanoma. Nature Medicine. 2022;28(2):353-362. doi:10.1038/s41591-021-01623-z</w:t>
      </w:r>
    </w:p>
    <w:p>
      <w:pPr>
        <w:pStyle w:val="Compact"/>
        <w:numPr>
          <w:ilvl w:val="0"/>
          <w:numId w:val="1001"/>
        </w:numPr>
      </w:pPr>
      <w:r>
        <w:t xml:space="preserve">Haanen J, Obeid M, Spain L, Carbonnel F, Wang Y, Robert C, et al. Management of toxicities from immunotherapy: ESMO Clinical Practice Guideline for diagnosis, treatment and follow-up. Annals of Oncology. 2022;33(12):1217-1238. doi:10.1016/j.annonc.2022.10.001</w:t>
      </w:r>
    </w:p>
    <w:p>
      <w:pPr>
        <w:pStyle w:val="Compact"/>
        <w:numPr>
          <w:ilvl w:val="0"/>
          <w:numId w:val="1001"/>
        </w:numPr>
      </w:pPr>
      <w:r>
        <w:t xml:space="preserve">Schneider BJ, Naidoo J, Santomasso BD, Lacchetti C, Adkins S, Anadkat M, et al. Management of Immune-Related Adverse Events in Patients Treated with Immune Checkpoint Inhibitor Therapy: ASCO Guideline Update. Journal of Clinical Oncology. 2021;39(36):4073-4126. doi:10.1200/JCO.21.01440</w:t>
      </w:r>
    </w:p>
    <w:p>
      <w:pPr>
        <w:pStyle w:val="Compact"/>
        <w:numPr>
          <w:ilvl w:val="0"/>
          <w:numId w:val="1001"/>
        </w:numPr>
      </w:pPr>
      <w:r>
        <w:t xml:space="preserve">Brahmer JR, Abu-Sbeih H, Ascierto PA, Brufsky J, Cappelli LC, Cortazar FB, et al. Society for Immunotherapy of Cancer (SITC) clinical practice guideline on immune checkpoint inhibitor-related adverse events. Journal for ImmunoTherapy of Cancer. 2021;9(6):e002435. doi:10.1136/jitc-2021-002435</w:t>
      </w:r>
    </w:p>
    <w:p>
      <w:pPr>
        <w:pStyle w:val="Compact"/>
        <w:numPr>
          <w:ilvl w:val="0"/>
          <w:numId w:val="1001"/>
        </w:numPr>
      </w:pPr>
      <w:r>
        <w:t xml:space="preserve">U.S. Food and Drug Administration. openFDA Drug Event API. https://open.fda.gov/apis/drug/event/ Accessed 2026-06-28.</w:t>
      </w:r>
    </w:p>
    <w:bookmarkEnd w:id="33"/>
    <w:bookmarkEnd w:id="34"/>
    <w:sectPr>
      <w:headerReference w:type="default" r:id="rId9"/>
      <w:footerReference w:type="default" r:id="rId1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2026-06-28T04:32:56Z</dcterms:created>
  <dcterms:modified xsi:type="dcterms:W3CDTF">2026-06-28T04:32:56Z</dcterms:modified>
</cp:coreProperties>
</file>

<file path=docProps/custom.xml><?xml version="1.0" encoding="utf-8"?>
<Properties xmlns="http://schemas.openxmlformats.org/officeDocument/2006/custom-properties" xmlns:vt="http://schemas.openxmlformats.org/officeDocument/2006/docPropsVTypes"/>
</file>