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e72dc6ae16f494f4cf94f20aa436465c91cc49"/>
    <w:p>
      <w:pPr>
        <w:pStyle w:val="Heading1"/>
      </w:pPr>
      <w:r>
        <w:t xml:space="preserve">ESMO Open Author Completion Checklist v3.2</w:t>
      </w:r>
    </w:p>
    <w:p>
      <w:pPr>
        <w:pStyle w:val="FirstParagraph"/>
      </w:pPr>
      <w:r>
        <w:t xml:space="preserve">This file intentionally separates author-only portal fields from the scientific manuscript. The items below should be completed by the submitting authors before journal upload and should not be invented by the analysis agent.</w:t>
      </w:r>
    </w:p>
    <w:p>
      <w:pPr>
        <w:pStyle w:val="Compact"/>
        <w:numPr>
          <w:ilvl w:val="0"/>
          <w:numId w:val="1001"/>
        </w:numPr>
      </w:pPr>
      <w:r>
        <w:t xml:space="preserve">Author names, degrees, affiliations and corresponding author details.</w:t>
      </w:r>
    </w:p>
    <w:p>
      <w:pPr>
        <w:pStyle w:val="Compact"/>
        <w:numPr>
          <w:ilvl w:val="0"/>
          <w:numId w:val="1001"/>
        </w:numPr>
      </w:pPr>
      <w:r>
        <w:t xml:space="preserve">ORCID identifiers.</w:t>
      </w:r>
    </w:p>
    <w:p>
      <w:pPr>
        <w:pStyle w:val="Compact"/>
        <w:numPr>
          <w:ilvl w:val="0"/>
          <w:numId w:val="1001"/>
        </w:numPr>
      </w:pPr>
      <w:r>
        <w:t xml:space="preserve">Author contributions using the journal-required taxonomy.</w:t>
      </w:r>
    </w:p>
    <w:p>
      <w:pPr>
        <w:pStyle w:val="Compact"/>
        <w:numPr>
          <w:ilvl w:val="0"/>
          <w:numId w:val="1001"/>
        </w:numPr>
      </w:pPr>
      <w:r>
        <w:t xml:space="preserve">Funding statement and grant numbers, or a statement of no specific funding.</w:t>
      </w:r>
    </w:p>
    <w:p>
      <w:pPr>
        <w:pStyle w:val="Compact"/>
        <w:numPr>
          <w:ilvl w:val="0"/>
          <w:numId w:val="1001"/>
        </w:numPr>
      </w:pPr>
      <w:r>
        <w:t xml:space="preserve">Competing interests statement for each author.</w:t>
      </w:r>
    </w:p>
    <w:p>
      <w:pPr>
        <w:pStyle w:val="Compact"/>
        <w:numPr>
          <w:ilvl w:val="0"/>
          <w:numId w:val="1001"/>
        </w:numPr>
      </w:pPr>
      <w:r>
        <w:t xml:space="preserve">Guarantor, if required by the journal.</w:t>
      </w:r>
    </w:p>
    <w:p>
      <w:pPr>
        <w:pStyle w:val="Compact"/>
        <w:numPr>
          <w:ilvl w:val="0"/>
          <w:numId w:val="1001"/>
        </w:numPr>
      </w:pPr>
      <w:r>
        <w:t xml:space="preserve">Institutional review or exemption wording, if required by local policy.</w:t>
      </w:r>
    </w:p>
    <w:p>
      <w:pPr>
        <w:pStyle w:val="Compact"/>
        <w:numPr>
          <w:ilvl w:val="0"/>
          <w:numId w:val="1001"/>
        </w:numPr>
      </w:pPr>
      <w:r>
        <w:t xml:space="preserve">Public repository URL/DOI for the locked data, scripts, figures and manuscript package.</w:t>
      </w:r>
    </w:p>
    <w:p>
      <w:pPr>
        <w:pStyle w:val="Compact"/>
        <w:numPr>
          <w:ilvl w:val="0"/>
          <w:numId w:val="1001"/>
        </w:numPr>
      </w:pPr>
      <w:r>
        <w:t xml:space="preserve">Preprint/prior presentation statement, if applicable.</w:t>
      </w:r>
    </w:p>
    <w:p>
      <w:pPr>
        <w:pStyle w:val="Compact"/>
        <w:numPr>
          <w:ilvl w:val="0"/>
          <w:numId w:val="1001"/>
        </w:numPr>
      </w:pPr>
      <w:r>
        <w:t xml:space="preserve">Suggested or opposed reviewers, if requested by the portal.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2026-06-28T01:59:54Z</dcterms:created>
  <dcterms:modified xsi:type="dcterms:W3CDTF">2026-06-28T01:59:54Z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