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2.9"/>
    <w:p>
      <w:pPr>
        <w:pStyle w:val="Heading1"/>
      </w:pPr>
      <w:r>
        <w:t xml:space="preserve">ESMO Open Cover Letter Rationale v2.9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this manuscript for consideration as a translational evidence analysis of immune checkpoint inhibitor toxicity phenotypes. The manuscript is not positioned as a conventional lymphoma-versus-solid tumor irAE meta-analysis and does not claim intrinsic lineage causality. Instead, it uses that clinically plausible comparison as a stress test for a broader clinical problem: ICI toxicity is often treated as a single incidence outcome even though published safety endpoints capture distinct phenotypes.</w:t>
      </w:r>
    </w:p>
    <w:p>
      <w:pPr>
        <w:pStyle w:val="BodyText"/>
      </w:pPr>
      <w:r>
        <w:t xml:space="preserve">The analysis combines a locked aggregate source registry with endpoint taxonomy, endpoint-compatible pooled estimates where justified, organ-specific strict irAE compatibility audit, toxicity phenotype mapping and an external patient-level irAE-linked melanoma PBMC RNA-seq validation layer. In the aggregate registry, broad high-grade treatment-related toxicity showed a visible but highly heterogeneous sensitivity-only solid-tumor-higher contrast, whereas strict organ-specific inflammatory irAE comparisons were mostly not estimable. The patient-level external validation shows that severe irAE can be associated with measurable immune-context signatures when harmonized sample-level toxicity labels are available, supporting the concept of toxicity phenotype decomposition without converting the aggregate lineage comparison into a causal claim.</w:t>
      </w:r>
    </w:p>
    <w:p>
      <w:pPr>
        <w:pStyle w:val="BodyText"/>
      </w:pPr>
      <w:r>
        <w:t xml:space="preserve">We believe the work is relevant to ESMO Open because it addresses a practical interpretive problem in immunotherapy safety: broad treatment-related toxicity, strict inflammatory irAE, organ-specific irAE, regulatory/source-tier signals, treatment architecture and molecular immune context answer different clinical questions. The manuscript’s contribution is an empirical decomposition of those phenotypes and a reporting standard for future patient-level studies.</w:t>
      </w:r>
    </w:p>
    <w:p>
      <w:pPr>
        <w:pStyle w:val="SourceCode"/>
      </w:pPr>
      <w:r>
        <w:rPr>
          <w:rStyle w:val="VerbatimChar"/>
        </w:rPr>
        <w:t xml:space="preserve">The manuscript explicitly preserves inference boundaries: it does not claim intrinsic lymphoma-versus-solid lineage causality, lineage-wide causal organ-specific irAE effects, exact chemotherapy-timing causality or clinical steroid mediation. Author metadata, final reference formatting and public repository DOI remain to be completed before portal submission.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t xml:space="preserve">AUTHOR TO COMPLETE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2026-06-28T00:45:57Z</dcterms:created>
  <dcterms:modified xsi:type="dcterms:W3CDTF">2026-06-28T00:45:57Z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