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smo-open-cover-letter-rationale-v3.0"/>
    <w:p>
      <w:pPr>
        <w:pStyle w:val="Heading1"/>
      </w:pPr>
      <w:r>
        <w:t xml:space="preserve">ESMO Open Cover Letter Rationale v3.0</w:t>
      </w:r>
    </w:p>
    <w:p>
      <w:pPr>
        <w:pStyle w:val="FirstParagraph"/>
      </w:pPr>
      <w:r>
        <w:t xml:space="preserve">Dear Editors,</w:t>
      </w:r>
    </w:p>
    <w:p>
      <w:pPr>
        <w:pStyle w:val="BodyText"/>
      </w:pPr>
      <w:r>
        <w:t xml:space="preserve">We submit this manuscript as a secondary translational evidence analysis of immune checkpoint inhibitor toxicity phenotypes. The study is not a conventional lymphoma-versus-solid tumor irAE meta-analysis and does not claim intrinsic lineage causality. Instead, it asks whether the clinical interpretation of a plausible cross-tumor comparison changes when ICI toxicity is decomposed into endpoint-defined phenotypes.</w:t>
      </w:r>
    </w:p>
    <w:p>
      <w:pPr>
        <w:pStyle w:val="BodyText"/>
      </w:pPr>
      <w:r>
        <w:t xml:space="preserve">The manuscript combines three evidence layers: a locked aggregate source registry with endpoint taxonomy, an organ-specific strict irAE estimability audit, and an external patient-level irAE-linked melanoma PBMC RNA-seq validation cohort. The aggregate layer shows that broad high-grade treatment-related toxicity has a visible but heterogeneous sensitivity-only contrast, whereas strict organ-specific inflammatory irAE comparisons are mostly not estimable. The patient-level layer shows that severe irAE is associated with FDR-significant immune-context signatures when harmonized sample-level toxicity labels are available, supporting biological measurability of toxicity phenotypes without converting the aggregate lineage comparison into a causal claim.</w:t>
      </w:r>
    </w:p>
    <w:p>
      <w:pPr>
        <w:pStyle w:val="BodyText"/>
      </w:pPr>
      <w:r>
        <w:t xml:space="preserve">We believe this work is relevant to ESMO Open because it addresses a practical oncology problem: ICI safety evidence is increasingly used across tumor settings, but broad treatment-related toxicity, strict inflammatory irAE, organ-specific irAE, treatment architecture and patient-level immune correlates answer different clinical questions. The manuscript provides an empirical interpretation standard for future trial reporting, evidence synthesis and patient-level target-trial studies.</w:t>
      </w:r>
    </w:p>
    <w:p>
      <w:pPr>
        <w:pStyle w:val="BodyText"/>
      </w:pPr>
      <w:r>
        <w:t xml:space="preserve">The submission explicitly preserves inference boundaries: no intrinsic lineage causality, no lineage-wide causal organ-specific irAE effect, no causal chemotherapy-sequence effect and no clinical steroid mediation can be concluded from the current data. Author metadata, final ethics wording, public repository DOI and final references remain to be completed before portal submission.</w:t>
      </w:r>
    </w:p>
    <w:p>
      <w:pPr>
        <w:pStyle w:val="BodyText"/>
      </w:pPr>
      <w:r>
        <w:t xml:space="preserve">Sincerely,</w:t>
      </w:r>
    </w:p>
    <w:p>
      <w:pPr>
        <w:pStyle w:val="BodyText"/>
      </w:pPr>
      <w:r>
        <w:t xml:space="preserve">AUTHOR TO COMPLETE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2026-06-28T01:08:03Z</dcterms:created>
  <dcterms:modified xsi:type="dcterms:W3CDTF">2026-06-28T01:08:03Z</dcterms:modified>
</cp:coreProperties>
</file>

<file path=docProps/custom.xml><?xml version="1.0" encoding="utf-8"?>
<Properties xmlns="http://schemas.openxmlformats.org/officeDocument/2006/custom-properties" xmlns:vt="http://schemas.openxmlformats.org/officeDocument/2006/docPropsVTypes"/>
</file>