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ESMO Open Cover Letter</w:t>
      </w:r>
    </w:p>
    <w:p>
      <w:r>
        <w:t>Dear Editors,</w:t>
      </w:r>
    </w:p>
    <w:p/>
    <w:p>
      <w:r>
        <w:t>Authors: Junwei Huang†¹, Xiaolei Wei†¹, Haiqing Zheng†², Qi Wei¹, Yongqiang Wei¹, Ru Feng¹, Xutao Guo*¹,³</w:t>
      </w:r>
    </w:p>
    <w:p>
      <w:r>
        <w:t>¹²³ Nanfang Hospital, Southern Medical University, Guangzhou, China</w:t>
      </w:r>
    </w:p>
    <w:p>
      <w:r>
        <w:t>† Equal contribution. * guoxutao@smu.edu.cn</w:t>
      </w:r>
    </w:p>
    <w:p/>
    <w:p>
      <w:r>
        <w:t>We submit a secondary translational evidence analysis entitled "Cross-Tumor Immune Checkpoint Inhibitor Toxicity Comparisons Are Not Supported by Current Evidence: A Four-System Phenotype Decomposition Analysis."</w:t>
      </w:r>
    </w:p>
    <w:p>
      <w:r>
        <w:t>The manuscript addresses a prior question the field has overlooked: can cross-tumor ICI toxicity comparisons actually be made with the evidence we have? Using lymphoma versus solid tumors as a clinical stress test, we audit four evidence systems commonly invoked in such comparisons—aggregate trial safety tables (384 rows, 36 source blocks), strict organ-specific irAE estimability (23 strata, 18 not estimable), openFDA pharmacovigilance signals (10 agents, 8 families), and patient-level PBMC molecular support (60 samples, 4 unadjusted FDR hits → 0 after therapy adjustment). None of these systems supports reliable cross-tumor inference with currently available public data.</w:t>
      </w:r>
    </w:p>
    <w:p>
      <w:r>
        <w:t>The manuscript provides a phenotype interpretation standard (Box 1) defining what each evidence system can and cannot answer in cross-tumor contexts. It is not framed as a definitive meta-analysis, does not claim lineage causality, and does not interpret openFDA RORs as clinical incidence. Its contribution is to make the problem of endpoint heterogeneity visible, measurable, and actionable—with direct implications for how the field interprets, reports, and designs cross-tumor ICI safety comparisons.</w:t>
      </w:r>
    </w:p>
    <w:p>
      <w:r>
        <w:t>Repository: https://github.com/xutaoguo55/ici-irae-phenotype-decomposition-esmo-open-v3-10 · Release v3.10 · DOI: 10.5281/zenodo.20989857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