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2"/>
    <w:p>
      <w:pPr>
        <w:pStyle w:val="Heading1"/>
      </w:pPr>
      <w:r>
        <w:t xml:space="preserve">ESMO Open Cover Letter Rationale v3.2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this manuscript as a secondary translational evidence analysis of immune checkpoint inhibitor toxicity phenotypes. The study uses lymphoma versus solid-tumor ICI toxicity as a clinically useful stress test, but it is not presented as a conventional lineage meta-analysis and does not claim intrinsic lineage causality.</w:t>
      </w:r>
    </w:p>
    <w:p>
      <w:pPr>
        <w:pStyle w:val="BodyText"/>
      </w:pPr>
      <w:r>
        <w:t xml:space="preserve">The manuscript combines aggregate evidence synthesis, organ-specific strict irAE estimability assessment and external patient-level irAE-linked transcriptomic validation. This three-layer design asks which toxicity contrasts are visible in public evidence, which are blocked by endpoint/source structure, and which can be connected to patient-level immune biology when harmonized toxicity labels exist.</w:t>
      </w:r>
    </w:p>
    <w:p>
      <w:pPr>
        <w:pStyle w:val="BodyText"/>
      </w:pPr>
      <w:r>
        <w:t xml:space="preserve">The main empirical findings are intentionally bounded. Broad high-grade treatment-related toxicity shows a visible, heterogeneous safety-burden contrast. Strict organ-specific inflammatory irAE comparisons are mostly not estimable from public aggregate evidence. Severe irAE in a public melanoma PBMC RNA-seq cohort is associated with FDR-significant immune signatures, supporting biological measurability of toxicity phenotypes.</w:t>
      </w:r>
    </w:p>
    <w:p>
      <w:pPr>
        <w:pStyle w:val="BodyText"/>
      </w:pPr>
      <w:r>
        <w:t xml:space="preserve">We believe this work may fit ESMO Open because it addresses interpretation of immunotherapy safety evidence across tumor settings and proposes a practical phenotype interpretation standard for future trial reporting, evidence synthesis and patient-level target-trial studies. The manuscript avoids claims of intrinsic lineage causality, causal chemotherapy timing effects or clinical steroid mediation.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Corresponding author details to be inserted by the submitting author.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2026-06-28T01:59:53Z</dcterms:created>
  <dcterms:modified xsi:type="dcterms:W3CDTF">2026-06-28T01:59:53Z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