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8"/>
    <w:p>
      <w:pPr>
        <w:pStyle w:val="Heading1"/>
      </w:pPr>
      <w:r>
        <w:t xml:space="preserve">ESMO Open Cover Letter Rationale v3.8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for consideration a secondary translational evidence analysis entitled</w:t>
      </w:r>
      <w:r>
        <w:t xml:space="preserve"> </w:t>
      </w:r>
      <w:r>
        <w:rPr>
          <w:b/>
          <w:bCs/>
        </w:rPr>
        <w:t xml:space="preserve">“Immune Checkpoint Inhibitor Toxicity Phenotype Decomposition Across Clinical, Pharmacovigilance and Molecular Evidence Systems.”</w:t>
      </w:r>
    </w:p>
    <w:p>
      <w:pPr>
        <w:pStyle w:val="BodyText"/>
      </w:pPr>
      <w:r>
        <w:t xml:space="preserve">The manuscript addresses a practical oncology safety problem: ICI toxicity is often discussed as a single outcome, while clinical trial reports, source appendices, pharmacovigilance databases and molecular cohorts measure different toxicity phenotypes. Using lymphoma versus solid tumors as a clinical stress test, we show that broad high-grade treatment-related safety burden, strict organ-specific inflammatory irAE, pharmacovigilance reporting signals and patient-level molecular support do not answer the same question.</w:t>
      </w:r>
    </w:p>
    <w:p>
      <w:pPr>
        <w:pStyle w:val="BodyText"/>
      </w:pPr>
      <w:r>
        <w:t xml:space="preserve">The analysis combines four bounded evidence layers:</w:t>
      </w:r>
    </w:p>
    <w:p>
      <w:pPr>
        <w:pStyle w:val="Compact"/>
        <w:numPr>
          <w:ilvl w:val="0"/>
          <w:numId w:val="1001"/>
        </w:numPr>
      </w:pPr>
      <w:r>
        <w:t xml:space="preserve">a locked aggregate source registry of 384 endpoint-labelled rows across 36 source blocks;</w:t>
      </w:r>
    </w:p>
    <w:p>
      <w:pPr>
        <w:pStyle w:val="Compact"/>
        <w:numPr>
          <w:ilvl w:val="0"/>
          <w:numId w:val="1001"/>
        </w:numPr>
      </w:pPr>
      <w:r>
        <w:t xml:space="preserve">an organ-specific strict irAE estimability audit showing that 18 of 23 organ-by-grade strata were unsuitable for lineage-wide pooling;</w:t>
      </w:r>
    </w:p>
    <w:p>
      <w:pPr>
        <w:pStyle w:val="Compact"/>
        <w:numPr>
          <w:ilvl w:val="0"/>
          <w:numId w:val="1001"/>
        </w:numPr>
      </w:pPr>
      <w:r>
        <w:t xml:space="preserve">an exact-match openFDA drug/event reporting-signal analysis across 10 ICI agents and 8 irAE reporting families;</w:t>
      </w:r>
    </w:p>
    <w:p>
      <w:pPr>
        <w:pStyle w:val="Compact"/>
        <w:numPr>
          <w:ilvl w:val="0"/>
          <w:numId w:val="1001"/>
        </w:numPr>
      </w:pPr>
      <w:r>
        <w:t xml:space="preserve">an external melanoma PBMC molecular-support analysis showing unadjusted severe-irAE immune-signature associations that did not remain FDR-significant after exploratory therapy adjustment.</w:t>
      </w:r>
    </w:p>
    <w:p>
      <w:pPr>
        <w:pStyle w:val="FirstParagraph"/>
      </w:pPr>
      <w:r>
        <w:t xml:space="preserve">The manuscript is deliberately not framed as a definitive lymphoma-versus-solid tumor irAE meta-analysis. It does not claim intrinsic lineage causality, clinical steroid mediation, chemotherapy-timing causality, openFDA incidence or biomarker validation. Its contribution is a phenotype-decomposition model for interpreting ICI toxicity evidence and identifying the minimum patient-level fields required for future definitive studies.</w:t>
      </w:r>
    </w:p>
    <w:p>
      <w:pPr>
        <w:pStyle w:val="BodyText"/>
      </w:pPr>
      <w:r>
        <w:t xml:space="preserve">We believe this article fits ESMO Open as an oncology-wide translational evidence analysis focused on immunotherapy safety interpretation and future study design.</w:t>
      </w:r>
    </w:p>
    <w:p>
      <w:pPr>
        <w:pStyle w:val="BodyText"/>
      </w:pPr>
      <w:r>
        <w:t xml:space="preserve">Author details, conflict-of-interest disclosures, funding, ethics/exemption wording and repository DOI should be completed by the submitting authors before portal upload.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2026-06-28T04:12:21Z</dcterms:created>
  <dcterms:modified xsi:type="dcterms:W3CDTF">2026-06-28T04:12:21Z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