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3df5b2b685d2a6a90b39978e3ad2921b1bf10e"/>
    <w:p>
      <w:pPr>
        <w:pStyle w:val="Heading1"/>
      </w:pPr>
      <w:r>
        <w:t xml:space="preserve">ESMO Open Supplementary Materials Index v3.5</w:t>
      </w:r>
    </w:p>
    <w:p>
      <w:pPr>
        <w:pStyle w:val="FirstParagraph"/>
      </w:pPr>
      <w:r>
        <w:t xml:space="preserve">This index lists only files included in the v3.5 core upload/review folder or intended for public deposition with the locked reproducibility package. Internal audit logs and development scripts are intentionally excluded from the journal-facing supplement index unless the journal requests them.</w:t>
      </w:r>
    </w:p>
    <w:bookmarkStart w:id="9" w:name="core-manuscript-files"/>
    <w:p>
      <w:pPr>
        <w:pStyle w:val="Heading2"/>
      </w:pPr>
      <w:r>
        <w:t xml:space="preserve">Core manuscript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ICI_IRAE_TOXICITY_PHENOTYPE_DECOMPOSITION_V3_5_ESMO_OPEN_SUBMISSION_HARDENED.docx</w:t>
            </w:r>
          </w:p>
        </w:tc>
        <w:tc>
          <w:tcPr/>
          <w:p>
            <w:pPr>
              <w:pStyle w:val="Compact"/>
            </w:pPr>
            <w:r>
              <w:t xml:space="preserve">Full scientific manuscript.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ESMO_OPEN_COVER_LETTER_RATIONALE_V3_5.docx</w:t>
            </w:r>
          </w:p>
        </w:tc>
        <w:tc>
          <w:tcPr/>
          <w:p>
            <w:pPr>
              <w:pStyle w:val="Compact"/>
            </w:pPr>
            <w:r>
              <w:t xml:space="preserve">Cautious ESMO Open cover letter rationale.</w:t>
            </w:r>
          </w:p>
        </w:tc>
      </w:tr>
    </w:tbl>
    <w:bookmarkEnd w:id="9"/>
    <w:bookmarkStart w:id="10" w:name="data-and-result-tables"/>
    <w:p>
      <w:pPr>
        <w:pStyle w:val="Heading2"/>
      </w:pPr>
      <w:r>
        <w:t xml:space="preserve">Data and result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evidence_source_registry_v1_3.csv</w:t>
            </w:r>
          </w:p>
        </w:tc>
        <w:tc>
          <w:tcPr/>
          <w:p>
            <w:pPr>
              <w:pStyle w:val="Compact"/>
            </w:pPr>
            <w:r>
              <w:t xml:space="preserve">Locked aggregate source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clinical_endpoint_pooled_estimates_v2_0.csv</w:t>
            </w:r>
          </w:p>
        </w:tc>
        <w:tc>
          <w:tcPr/>
          <w:p>
            <w:pPr>
              <w:pStyle w:val="Compact"/>
            </w:pPr>
            <w:r>
              <w:t xml:space="preserve">Endpoint-compatible pooled estimates and architecture sensitivity.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organ_specific_irae_endpoint_compatibility_audit_v2_1.csv</w:t>
            </w:r>
          </w:p>
        </w:tc>
        <w:tc>
          <w:tcPr/>
          <w:p>
            <w:pPr>
              <w:pStyle w:val="Compact"/>
            </w:pPr>
            <w:r>
              <w:t xml:space="preserve">Organ-specific strict irAE estimability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toxicity_phenotype_interpretation_standard_v3_5.csv</w:t>
            </w:r>
          </w:p>
        </w:tc>
        <w:tc>
          <w:tcPr/>
          <w:p>
            <w:pPr>
              <w:pStyle w:val="Compact"/>
            </w:pPr>
            <w:r>
              <w:t xml:space="preserve">Reporting and interpretation standard with overclaim language weakened to molecular support.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GSE186144_lozano_irAE_signature_association_v3_5.csv</w:t>
            </w:r>
          </w:p>
        </w:tc>
        <w:tc>
          <w:tcPr/>
          <w:p>
            <w:pPr>
              <w:pStyle w:val="Compact"/>
            </w:pPr>
            <w:r>
              <w:t xml:space="preserve">Unadjusted patient-level severe-irAE signature associations with FDR, effect sizes and PBMC-appropriate display labels.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GSE186144_lozano_therapy_adjusted_signature_models_v3_5.csv</w:t>
            </w:r>
          </w:p>
        </w:tc>
        <w:tc>
          <w:tcPr/>
          <w:p>
            <w:pPr>
              <w:pStyle w:val="Compact"/>
            </w:pPr>
            <w:r>
              <w:t xml:space="preserve">Exploratory therapy-adjusted patient-level sensitivity models.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GSE186144_lozano_therapy_type_sensitivity_v3_0.csv</w:t>
            </w:r>
          </w:p>
        </w:tc>
        <w:tc>
          <w:tcPr/>
          <w:p>
            <w:pPr>
              <w:pStyle w:val="Compact"/>
            </w:pPr>
            <w:r>
              <w:t xml:space="preserve">Therapy-type descriptive sensitivity.</w:t>
            </w:r>
          </w:p>
        </w:tc>
      </w:tr>
    </w:tbl>
    <w:bookmarkEnd w:id="10"/>
    <w:bookmarkStart w:id="11" w:name="figures"/>
    <w:p>
      <w:pPr>
        <w:pStyle w:val="Heading2"/>
      </w:pPr>
      <w:r>
        <w:t xml:space="preserve">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Figure_1_three_layer_translational_evidence_v3_5.pdf/png</w:t>
            </w:r>
          </w:p>
        </w:tc>
        <w:tc>
          <w:tcPr/>
          <w:p>
            <w:pPr>
              <w:pStyle w:val="Compact"/>
            </w:pPr>
            <w:r>
              <w:t xml:space="preserve">Three-layer translational evidence model with support/measurability wording.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Figure_2_phenotype_specific_estimates_v3_5.pdf/png</w:t>
            </w:r>
          </w:p>
        </w:tc>
        <w:tc>
          <w:tcPr/>
          <w:p>
            <w:pPr>
              <w:pStyle w:val="Compact"/>
            </w:pPr>
            <w:r>
              <w:t xml:space="preserve">Grouped phenotype-specific clinical estimates; lineage, endpoint and architecture rows are visually separated.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Figure_3_organ_specific_irae_estimability_v3_5.pdf/png</w:t>
            </w:r>
          </w:p>
        </w:tc>
        <w:tc>
          <w:tcPr/>
          <w:p>
            <w:pPr>
              <w:pStyle w:val="Compact"/>
            </w:pPr>
            <w:r>
              <w:t xml:space="preserve">Organ-specific strict irAE estimability heatmap.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Figure_4_patient_level_irAE_support_v3_5.pdf/png</w:t>
            </w:r>
          </w:p>
        </w:tc>
        <w:tc>
          <w:tcPr/>
          <w:p>
            <w:pPr>
              <w:pStyle w:val="Compact"/>
            </w:pPr>
            <w:r>
              <w:t xml:space="preserve">External melanoma PBMC severe-irAE immune signature analysis.</w:t>
            </w:r>
          </w:p>
        </w:tc>
      </w:tr>
    </w:tbl>
    <w:bookmarkEnd w:id="11"/>
    <w:bookmarkStart w:id="12" w:name="public-repository-note"/>
    <w:p>
      <w:pPr>
        <w:pStyle w:val="Heading2"/>
      </w:pPr>
      <w:r>
        <w:t xml:space="preserve">Public repository note</w:t>
      </w:r>
    </w:p>
    <w:p>
      <w:pPr>
        <w:pStyle w:val="FirstParagraph"/>
      </w:pPr>
      <w:r>
        <w:t xml:space="preserve">No public repository DOI is claimed in this v3.5 package. Direct portal upload should be deferred until the submitting authors deposit the locked package in a public repository or revise the data-access statement to match a completed route.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2026-06-28T03:00:24Z</dcterms:created>
  <dcterms:modified xsi:type="dcterms:W3CDTF">2026-06-28T03:00:24Z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