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9a926b8a479905d5c9425a100bd9b74d2a8e74"/>
    <w:p>
      <w:pPr>
        <w:pStyle w:val="Heading1"/>
      </w:pPr>
      <w:r>
        <w:t xml:space="preserve">ESMO Open Supplementary Materials Index v2.9</w:t>
      </w:r>
    </w:p>
    <w:p>
      <w:pPr>
        <w:pStyle w:val="FirstParagraph"/>
      </w:pPr>
      <w:r>
        <w:t xml:space="preserve">This index maps each major manuscript statement to a locked file or script-generated output. It is designed to prevent hidden manual values in the submission package.</w:t>
      </w:r>
    </w:p>
    <w:bookmarkStart w:id="9" w:name="supplementary-tables-and-locked-data"/>
    <w:p>
      <w:pPr>
        <w:pStyle w:val="Heading2"/>
      </w:pPr>
      <w:r>
        <w:t xml:space="preserve">Supplementary tables and locked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 x columns</w:t>
            </w:r>
          </w:p>
        </w:tc>
        <w:tc>
          <w:tcPr/>
          <w:p>
            <w:pPr>
              <w:pStyle w:val="Compact"/>
            </w:pPr>
            <w:r>
              <w:t xml:space="preserve">Manuscript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 x 23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registry; supports 384 source rows and 36 source blocks.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x 21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estimates, heterogeneity and prediction intervals.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x 14</w:t>
            </w:r>
          </w:p>
        </w:tc>
        <w:tc>
          <w:tcPr/>
          <w:p>
            <w:pPr>
              <w:pStyle w:val="Compact"/>
            </w:pPr>
            <w:r>
              <w:t xml:space="preserve">Organ-specific strict irAE endpoint compatibility and not-estimable strata.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toxicity_phenotype_map_v2_4.csv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source-defined</w:t>
            </w:r>
          </w:p>
        </w:tc>
        <w:tc>
          <w:tcPr/>
          <w:p>
            <w:pPr>
              <w:pStyle w:val="Compact"/>
            </w:pPr>
            <w:r>
              <w:t xml:space="preserve">Toxicity phenotype class definitions and allowed/forbidden interpretation.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claim_reporting_standard_v2_1.csv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x 6</w:t>
            </w:r>
          </w:p>
        </w:tc>
        <w:tc>
          <w:tcPr/>
          <w:p>
            <w:pPr>
              <w:pStyle w:val="Compact"/>
            </w:pPr>
            <w:r>
              <w:t xml:space="preserve">Reporting standard and claim-gate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GSE186144_lozano_bulk_metadata_v2_8.csv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 x 46</w:t>
            </w:r>
          </w:p>
        </w:tc>
        <w:tc>
          <w:tcPr/>
          <w:p>
            <w:pPr>
              <w:pStyle w:val="Compact"/>
            </w:pPr>
            <w:r>
              <w:t xml:space="preserve">Patient-level melanoma PBMC metadata parsed from GEO for external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GSE186144_lozano_irAE_signature_scores_v2_8.csv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 x 3</w:t>
            </w:r>
          </w:p>
        </w:tc>
        <w:tc>
          <w:tcPr/>
          <w:p>
            <w:pPr>
              <w:pStyle w:val="Compact"/>
            </w:pPr>
            <w:r>
              <w:t xml:space="preserve">Patient-level signature scores for external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S8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GSE186144_lozano_irAE_signature_association_v2_8.csv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x 10</w:t>
            </w:r>
          </w:p>
        </w:tc>
        <w:tc>
          <w:tcPr/>
          <w:p>
            <w:pPr>
              <w:pStyle w:val="Compact"/>
            </w:pPr>
            <w:r>
              <w:t xml:space="preserve">Severe-versus-non-severe irAE signature associations.</w:t>
            </w:r>
          </w:p>
        </w:tc>
      </w:tr>
    </w:tbl>
    <w:bookmarkEnd w:id="9"/>
    <w:bookmarkStart w:id="10" w:name="main-figures"/>
    <w:p>
      <w:pPr>
        <w:pStyle w:val="Heading2"/>
      </w:pPr>
      <w:r>
        <w:t xml:space="preserve">Main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Figure_1_endpoint_conclusion_instability_v2_5.pdf/png</w:t>
            </w:r>
          </w:p>
        </w:tc>
        <w:tc>
          <w:tcPr/>
          <w:p>
            <w:pPr>
              <w:pStyle w:val="Compact"/>
            </w:pPr>
            <w:r>
              <w:t xml:space="preserve">Endpoint-phenotype conclusion instability across the aggregate evidence 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pooled and sensitivity-only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Figure_3_model_dependence_v2_0.pdf/png</w:t>
            </w:r>
          </w:p>
        </w:tc>
        <w:tc>
          <w:tcPr/>
          <w:p>
            <w:pPr>
              <w:pStyle w:val="Compact"/>
            </w:pPr>
            <w:r>
              <w:t xml:space="preserve">Exploratory noncausal arm-level model dependence.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toxicity; k=1 timing stratum marked not pooled.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Figure_5_immune_context_v2_0.pdf/png</w:t>
            </w:r>
          </w:p>
        </w:tc>
        <w:tc>
          <w:tcPr/>
          <w:p>
            <w:pPr>
              <w:pStyle w:val="Compact"/>
            </w:pPr>
            <w:r>
              <w:t xml:space="preserve">Descriptive immune-context signatures; not causal cross-cohort lineage biology.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Figure_6_steroid_and_claim_gate_v2_3.pdf/png</w:t>
            </w:r>
          </w:p>
        </w:tc>
        <w:tc>
          <w:tcPr/>
          <w:p>
            <w:pPr>
              <w:pStyle w:val="Compact"/>
            </w:pPr>
            <w:r>
              <w:t xml:space="preserve">Steroid-sensitive inflammatory biology and claim/reporting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Figure_patient_level_irAE_validation_v2_8.pdf/png</w:t>
            </w:r>
          </w:p>
        </w:tc>
        <w:tc>
          <w:tcPr/>
          <w:p>
            <w:pPr>
              <w:pStyle w:val="Compact"/>
            </w:pPr>
            <w:r>
              <w:t xml:space="preserve">External patient-level irAE-linked melanoma biomarker validation.</w:t>
            </w:r>
          </w:p>
        </w:tc>
      </w:tr>
    </w:tbl>
    <w:bookmarkEnd w:id="10"/>
    <w:bookmarkStart w:id="11" w:name="reproducibility-scripts"/>
    <w:p>
      <w:pPr>
        <w:pStyle w:val="Heading2"/>
      </w:pPr>
      <w:r>
        <w:t xml:space="preserve">Reproducibility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Output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prepare_patient_level_irae_validation_v2_8.py</w:t>
            </w:r>
          </w:p>
        </w:tc>
        <w:tc>
          <w:tcPr/>
          <w:p>
            <w:pPr>
              <w:pStyle w:val="Compact"/>
            </w:pPr>
            <w:r>
              <w:t xml:space="preserve">Downloads/parses GEO metadata and bulk TPM; writes patient-level validation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plot_patient_level_validation_v2_8.py</w:t>
            </w:r>
          </w:p>
        </w:tc>
        <w:tc>
          <w:tcPr/>
          <w:p>
            <w:pPr>
              <w:pStyle w:val="Compact"/>
            </w:pPr>
            <w:r>
              <w:t xml:space="preserve">Generates Figure 7 from locked v2.8 patient-level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build_esmo_open_story_v2_8.py</w:t>
            </w:r>
          </w:p>
        </w:tc>
        <w:tc>
          <w:tcPr/>
          <w:p>
            <w:pPr>
              <w:pStyle w:val="Compact"/>
            </w:pPr>
            <w:r>
              <w:t xml:space="preserve">Builds the v2.8 patient-level validation manuscript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build_esmo_open_submission_hardening_v2_9.py</w:t>
            </w:r>
          </w:p>
        </w:tc>
        <w:tc>
          <w:tcPr/>
          <w:p>
            <w:pPr>
              <w:pStyle w:val="Compact"/>
            </w:pPr>
            <w:r>
              <w:t xml:space="preserve">Builds the v2.9 submission-hardened package and allowlist QC.</w:t>
            </w:r>
          </w:p>
        </w:tc>
      </w:tr>
    </w:tbl>
    <w:bookmarkEnd w:id="11"/>
    <w:bookmarkStart w:id="12" w:name="claim-to-file-traceability"/>
    <w:p>
      <w:pPr>
        <w:pStyle w:val="Heading2"/>
      </w:pPr>
      <w:r>
        <w:t xml:space="preserve">Claim-to-file traceability</w:t>
      </w:r>
    </w:p>
    <w:p>
      <w:pPr>
        <w:pStyle w:val="FirstParagraph"/>
      </w:pPr>
      <w:r>
        <w:t xml:space="preserve">The 384-row registry claim traces to Supplementary Table S1. The 71 primary-compatible and 313 sensitivity/audit/context row counts trace to the registry fields and prior locked audit outputs. The high-grade treatment-related AE pooled estimates trace to Supplementary Table S2. The 18 of 23 non-estimable organ-by-grade strata trace to Supplementary Table S3. The severe-irAE patient-level immune signature associations trace to Supplementary Tables S6-S8 and Figure 7. Claim-boundary language traces to Supplementary Table S5.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2026-06-28T00:45:57Z</dcterms:created>
  <dcterms:modified xsi:type="dcterms:W3CDTF">2026-06-28T00:45:57Z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