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62ecb2a5a363068899f7483cd744dc7bb7dd5a"/>
    <w:p>
      <w:pPr>
        <w:pStyle w:val="Heading1"/>
      </w:pPr>
      <w:r>
        <w:t xml:space="preserve">ESMO Open Supplementary Materials Index v3.0</w:t>
      </w:r>
    </w:p>
    <w:p>
      <w:pPr>
        <w:pStyle w:val="FirstParagraph"/>
      </w:pPr>
      <w:r>
        <w:t xml:space="preserve">This index maps manuscript claims to locked data and scripts.</w:t>
      </w:r>
    </w:p>
    <w:bookmarkStart w:id="9" w:name="supplementary-tables"/>
    <w:p>
      <w:pPr>
        <w:pStyle w:val="Heading2"/>
      </w:pPr>
      <w:r>
        <w:t xml:space="preserve">Supplementary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 x columns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 x 23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x 21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x 14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x 5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x 13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GSE186144_lozano_leave_one_out_sensitivity_v3_0.csv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x 7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x 9</w:t>
            </w:r>
          </w:p>
        </w:tc>
        <w:tc>
          <w:tcPr/>
          <w:p>
            <w:pPr>
              <w:pStyle w:val="Compact"/>
            </w:pPr>
            <w:r>
              <w:t xml:space="preserve">Locked/script-generated supplementary table</w:t>
            </w:r>
          </w:p>
        </w:tc>
      </w:tr>
    </w:tbl>
    <w:bookmarkEnd w:id="9"/>
    <w:bookmarkStart w:id="10" w:name="reports"/>
    <w:p>
      <w:pPr>
        <w:pStyle w:val="Heading2"/>
      </w:pPr>
      <w:r>
        <w:t xml:space="preserve">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PRISMA_STYLE_SOURCE_FLOW_V3_0.md</w:t>
            </w:r>
          </w:p>
        </w:tc>
        <w:tc>
          <w:tcPr/>
          <w:p>
            <w:pPr>
              <w:pStyle w:val="Compact"/>
            </w:pPr>
            <w:r>
              <w:t xml:space="preserve">Source-flow summary for heterogeneous endpoint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TOXICITY_PHENOTYPE_INTERPRETATION_STANDARD_V3_0.md</w:t>
            </w:r>
          </w:p>
        </w:tc>
        <w:tc>
          <w:tcPr/>
          <w:p>
            <w:pPr>
              <w:pStyle w:val="Compact"/>
            </w:pPr>
            <w:r>
              <w:t xml:space="preserve">Reviewer-facing interpretation standard replacing the internal claim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PATIENT_LEVEL_VALIDATION_HARDENING_V3_0.md</w:t>
            </w:r>
          </w:p>
        </w:tc>
        <w:tc>
          <w:tcPr/>
          <w:p>
            <w:pPr>
              <w:pStyle w:val="Compact"/>
            </w:pPr>
            <w:r>
              <w:t xml:space="preserve">Patient-level FDR, effect-size, influence and therapy-type sensitivity summary.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Figure_1_endpoint_conclusion_instability_v2_5.pdf/png</w:t>
            </w:r>
          </w:p>
        </w:tc>
        <w:tc>
          <w:tcPr/>
          <w:p>
            <w:pPr>
              <w:pStyle w:val="Compact"/>
            </w:pPr>
            <w:r>
              <w:t xml:space="preserve">Endpoint-phenotype conclusion instability across aggregate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Figure_3_model_dependence_v2_0.pdf/png</w:t>
            </w:r>
          </w:p>
        </w:tc>
        <w:tc>
          <w:tcPr/>
          <w:p>
            <w:pPr>
              <w:pStyle w:val="Compact"/>
            </w:pPr>
            <w:r>
              <w:t xml:space="preserve">Exploratory arm-level ecological model dependence.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Figure_5_immune_context_v2_0.pdf/png</w:t>
            </w:r>
          </w:p>
        </w:tc>
        <w:tc>
          <w:tcPr/>
          <w:p>
            <w:pPr>
              <w:pStyle w:val="Compact"/>
            </w:pPr>
            <w:r>
              <w:t xml:space="preserve">Descriptive immune-context signatures.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Figure_6_steroid_and_claim_gate_v2_3.pdf/png</w:t>
            </w:r>
          </w:p>
        </w:tc>
        <w:tc>
          <w:tcPr/>
          <w:p>
            <w:pPr>
              <w:pStyle w:val="Compact"/>
            </w:pPr>
            <w:r>
              <w:t xml:space="preserve">Steroid-sensitive biology and interpretation standard.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Figure_patient_level_irAE_validation_v3_0.pdf/png</w:t>
            </w:r>
          </w:p>
        </w:tc>
        <w:tc>
          <w:tcPr/>
          <w:p>
            <w:pPr>
              <w:pStyle w:val="Compact"/>
            </w:pPr>
            <w:r>
              <w:t xml:space="preserve">Patient-level severe-irAE immune signature validation with FDR status.</w:t>
            </w:r>
          </w:p>
        </w:tc>
      </w:tr>
    </w:tbl>
    <w:bookmarkEnd w:id="11"/>
    <w:bookmarkStart w:id="12" w:name="generating-scripts"/>
    <w:p>
      <w:pPr>
        <w:pStyle w:val="Heading2"/>
      </w:pPr>
      <w:r>
        <w:t xml:space="preserve">Generating scripts</w:t>
      </w:r>
    </w:p>
    <w:p>
      <w:pPr>
        <w:pStyle w:val="FirstParagraph"/>
      </w:pPr>
      <w:r>
        <w:rPr>
          <w:rStyle w:val="VerbatimChar"/>
        </w:rPr>
        <w:t xml:space="preserve">patient_level_validation_hardening_v3_0.py</w:t>
      </w:r>
      <w:r>
        <w:t xml:space="preserve"> </w:t>
      </w:r>
      <w:r>
        <w:t xml:space="preserve">generates the v3.0 patient-level validation tables and Figure 7.</w:t>
      </w:r>
      <w:r>
        <w:t xml:space="preserve"> </w:t>
      </w:r>
      <w:r>
        <w:rPr>
          <w:rStyle w:val="VerbatimChar"/>
        </w:rPr>
        <w:t xml:space="preserve">build_esmo_open_v3_0_package.py</w:t>
      </w:r>
      <w:r>
        <w:t xml:space="preserve"> </w:t>
      </w:r>
      <w:r>
        <w:t xml:space="preserve">generates the manuscript, supplement index, interpretation standard, QC report and package.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2026-06-28T01:08:03Z</dcterms:created>
  <dcterms:modified xsi:type="dcterms:W3CDTF">2026-06-28T01:08:03Z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