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b9ebe22fe07cc38d0c32d5c8511e3c3ec46cac"/>
    <w:p>
      <w:pPr>
        <w:pStyle w:val="Heading1"/>
      </w:pPr>
      <w:r>
        <w:t xml:space="preserve">ESMO Open Supplementary Materials Index v3.1</w:t>
      </w:r>
    </w:p>
    <w:bookmarkStart w:id="9" w:name="core-manuscript-files"/>
    <w:p>
      <w:pPr>
        <w:pStyle w:val="Heading2"/>
      </w:pPr>
      <w:r>
        <w:t xml:space="preserve">Core manuscript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ICI_IRAE_TOXICITY_PHENOTYPE_DECOMPOSITION_V3_1_ESMO_OPEN_OPTIMIZED.md/docx</w:t>
            </w:r>
          </w:p>
        </w:tc>
        <w:tc>
          <w:tcPr/>
          <w:p>
            <w:pPr>
              <w:pStyle w:val="Compact"/>
            </w:pPr>
            <w:r>
              <w:t xml:space="preserve">Full scientific manuscript.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ESMO_OPEN_COVER_LETTER_RATIONALE_V3_1.md/docx</w:t>
            </w:r>
          </w:p>
        </w:tc>
        <w:tc>
          <w:tcPr/>
          <w:p>
            <w:pPr>
              <w:pStyle w:val="Compact"/>
            </w:pPr>
            <w:r>
              <w:t xml:space="preserve">Cautious ESMO Open cover letter rationale.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SCIENTIFIC_OPTIMIZATION_AUDIT_V3_1.md</w:t>
            </w:r>
          </w:p>
        </w:tc>
        <w:tc>
          <w:tcPr/>
          <w:p>
            <w:pPr>
              <w:pStyle w:val="Compact"/>
            </w:pPr>
            <w:r>
              <w:t xml:space="preserve">Audit explaining scientific changes from v3.0.</w:t>
            </w:r>
          </w:p>
        </w:tc>
      </w:tr>
    </w:tbl>
    <w:bookmarkEnd w:id="9"/>
    <w:bookmarkStart w:id="10" w:name="data-and-result-tables"/>
    <w:p>
      <w:pPr>
        <w:pStyle w:val="Heading2"/>
      </w:pPr>
      <w:r>
        <w:t xml:space="preserve">Data and result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 and architecture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toxicity_phenotype_interpretation_standard_v3_0.csv</w:t>
            </w:r>
          </w:p>
        </w:tc>
        <w:tc>
          <w:tcPr/>
          <w:p>
            <w:pPr>
              <w:pStyle w:val="Compact"/>
            </w:pPr>
            <w:r>
              <w:t xml:space="preserve">Reporting and interpretation standard.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GSE186144_lozano_irAE_signature_association_v3_0.csv</w:t>
            </w:r>
          </w:p>
        </w:tc>
        <w:tc>
          <w:tcPr/>
          <w:p>
            <w:pPr>
              <w:pStyle w:val="Compact"/>
            </w:pPr>
            <w:r>
              <w:t xml:space="preserve">Patient-level severe-irAE signature associations with FDR and effect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GSE186144_lozano_leave_one_out_sensitivity_v3_0.csv</w:t>
            </w:r>
          </w:p>
        </w:tc>
        <w:tc>
          <w:tcPr/>
          <w:p>
            <w:pPr>
              <w:pStyle w:val="Compact"/>
            </w:pPr>
            <w:r>
              <w:t xml:space="preserve">Patient-level influence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</w:pPr>
            <w:r>
              <w:t xml:space="preserve">Therapy-type descriptive sensitivity.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Figure_1_three_layer_translational_evidence_v3_1.pdf/png</w:t>
            </w:r>
          </w:p>
        </w:tc>
        <w:tc>
          <w:tcPr/>
          <w:p>
            <w:pPr>
              <w:pStyle w:val="Compact"/>
            </w:pPr>
            <w:r>
              <w:t xml:space="preserve">Three-layer translational evidence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Figure_patient_level_irAE_validation_v3_0.pdf/png</w:t>
            </w:r>
          </w:p>
        </w:tc>
        <w:tc>
          <w:tcPr/>
          <w:p>
            <w:pPr>
              <w:pStyle w:val="Compact"/>
            </w:pPr>
            <w:r>
              <w:t xml:space="preserve">Patient-level severe-irAE immune signature validation.</w:t>
            </w:r>
          </w:p>
        </w:tc>
      </w:tr>
    </w:tbl>
    <w:bookmarkEnd w:id="11"/>
    <w:bookmarkStart w:id="12" w:name="scripts"/>
    <w:p>
      <w:pPr>
        <w:pStyle w:val="Heading2"/>
      </w:pPr>
      <w:r>
        <w:t xml:space="preserve">Scripts</w:t>
      </w:r>
    </w:p>
    <w:p>
      <w:pPr>
        <w:pStyle w:val="FirstParagraph"/>
      </w:pPr>
      <w:r>
        <w:rPr>
          <w:rStyle w:val="VerbatimChar"/>
        </w:rPr>
        <w:t xml:space="preserve">patient_level_validation_hardening_v3_0.py</w:t>
      </w:r>
      <w:r>
        <w:t xml:space="preserve"> </w:t>
      </w:r>
      <w:r>
        <w:t xml:space="preserve">generates patient-level validation hardening outputs.</w:t>
      </w:r>
      <w:r>
        <w:t xml:space="preserve"> </w:t>
      </w:r>
      <w:r>
        <w:rPr>
          <w:rStyle w:val="VerbatimChar"/>
        </w:rPr>
        <w:t xml:space="preserve">build_esmo_open_v3_1_scientific_optimization.py</w:t>
      </w:r>
      <w:r>
        <w:t xml:space="preserve"> </w:t>
      </w:r>
      <w:r>
        <w:t xml:space="preserve">generates the v3.1 manuscript, Figure 1, QC report and package.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2026-06-28T01:19:45Z</dcterms:created>
  <dcterms:modified xsi:type="dcterms:W3CDTF">2026-06-28T01:19:45Z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