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8cad30b443cdc6428fee34805c67ce11c5aaf98"/>
    <w:p>
      <w:pPr>
        <w:pStyle w:val="Heading1"/>
      </w:pPr>
      <w:r>
        <w:t xml:space="preserve">ESMO Open Supplementary Materials Index v3.2</w:t>
      </w:r>
    </w:p>
    <w:bookmarkStart w:id="9" w:name="core-manuscript-files"/>
    <w:p>
      <w:pPr>
        <w:pStyle w:val="Heading2"/>
      </w:pPr>
      <w:r>
        <w:t xml:space="preserve">Core manuscript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ICI_IRAE_TOXICITY_PHENOTYPE_DECOMPOSITION_V3_2_ESMO_OPEN_HARDENED.md/docx</w:t>
            </w:r>
          </w:p>
        </w:tc>
        <w:tc>
          <w:tcPr/>
          <w:p>
            <w:pPr>
              <w:pStyle w:val="Compact"/>
            </w:pPr>
            <w:r>
              <w:t xml:space="preserve">Full scientific manuscript.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ESMO_OPEN_COVER_LETTER_RATIONALE_V3_2.md/docx</w:t>
            </w:r>
          </w:p>
        </w:tc>
        <w:tc>
          <w:tcPr/>
          <w:p>
            <w:pPr>
              <w:pStyle w:val="Compact"/>
            </w:pPr>
            <w:r>
              <w:t xml:space="preserve">Cautious ESMO Open cover letter rationale.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SCIENTIFIC_OPTIMIZATION_AUDIT_V3_1.md</w:t>
            </w:r>
          </w:p>
        </w:tc>
        <w:tc>
          <w:tcPr/>
          <w:p>
            <w:pPr>
              <w:pStyle w:val="Compact"/>
            </w:pPr>
            <w:r>
              <w:t xml:space="preserve">Scientific optimization audit retained from the v3.1 story upgrade.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REFERENCE_TRUTHFULNESS_AUDIT_V3_2.md</w:t>
            </w:r>
          </w:p>
        </w:tc>
        <w:tc>
          <w:tcPr/>
          <w:p>
            <w:pPr>
              <w:pStyle w:val="Compact"/>
            </w:pPr>
            <w:r>
              <w:t xml:space="preserve">Reference identity and DOI audit for v3.2.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ESMO_OPEN_SUBMISSION_HARDENING_QC_V3_2.md</w:t>
            </w:r>
          </w:p>
        </w:tc>
        <w:tc>
          <w:tcPr/>
          <w:p>
            <w:pPr>
              <w:pStyle w:val="Compact"/>
            </w:pPr>
            <w:r>
              <w:t xml:space="preserve">Submission-package QC for the hardened v3.2 package.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V3_2_DEEP_AUDIT_REPORT.md</w:t>
            </w:r>
          </w:p>
        </w:tc>
        <w:tc>
          <w:tcPr/>
          <w:p>
            <w:pPr>
              <w:pStyle w:val="Compact"/>
            </w:pPr>
            <w:r>
              <w:t xml:space="preserve">Deep scientific, numerical and package-consistency self-audit.</w:t>
            </w:r>
          </w:p>
        </w:tc>
      </w:tr>
    </w:tbl>
    <w:bookmarkEnd w:id="9"/>
    <w:bookmarkStart w:id="10" w:name="data-and-result-tables"/>
    <w:p>
      <w:pPr>
        <w:pStyle w:val="Heading2"/>
      </w:pPr>
      <w:r>
        <w:t xml:space="preserve">Data and result 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evidence_source_registry_v1_3.csv</w:t>
            </w:r>
          </w:p>
        </w:tc>
        <w:tc>
          <w:tcPr/>
          <w:p>
            <w:pPr>
              <w:pStyle w:val="Compact"/>
            </w:pPr>
            <w:r>
              <w:t xml:space="preserve">Locked aggregate source registry.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clinical_endpoint_pooled_estimates_v2_0.csv</w:t>
            </w:r>
          </w:p>
        </w:tc>
        <w:tc>
          <w:tcPr/>
          <w:p>
            <w:pPr>
              <w:pStyle w:val="Compact"/>
            </w:pPr>
            <w:r>
              <w:t xml:space="preserve">Endpoint-compatible pooled estimates and architecture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organ_specific_irae_endpoint_compatibility_audit_v2_1.csv</w:t>
            </w:r>
          </w:p>
        </w:tc>
        <w:tc>
          <w:tcPr/>
          <w:p>
            <w:pPr>
              <w:pStyle w:val="Compact"/>
            </w:pPr>
            <w:r>
              <w:t xml:space="preserve">Organ-specific strict irAE estimability audit.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toxicity_phenotype_interpretation_standard_v3_0.csv</w:t>
            </w:r>
          </w:p>
        </w:tc>
        <w:tc>
          <w:tcPr/>
          <w:p>
            <w:pPr>
              <w:pStyle w:val="Compact"/>
            </w:pPr>
            <w:r>
              <w:t xml:space="preserve">Reporting and interpretation standard.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GSE186144_lozano_irAE_signature_association_v3_0.csv</w:t>
            </w:r>
          </w:p>
        </w:tc>
        <w:tc>
          <w:tcPr/>
          <w:p>
            <w:pPr>
              <w:pStyle w:val="Compact"/>
            </w:pPr>
            <w:r>
              <w:t xml:space="preserve">Patient-level severe-irAE signature associations with FDR and effect sizes.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GSE186144_lozano_leave_one_out_sensitivity_v3_0.csv</w:t>
            </w:r>
          </w:p>
        </w:tc>
        <w:tc>
          <w:tcPr/>
          <w:p>
            <w:pPr>
              <w:pStyle w:val="Compact"/>
            </w:pPr>
            <w:r>
              <w:t xml:space="preserve">Patient-level influence sensitivity.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GSE186144_lozano_therapy_type_sensitivity_v3_0.csv</w:t>
            </w:r>
          </w:p>
        </w:tc>
        <w:tc>
          <w:tcPr/>
          <w:p>
            <w:pPr>
              <w:pStyle w:val="Compact"/>
            </w:pPr>
            <w:r>
              <w:t xml:space="preserve">Therapy-type descriptive sensitivity.</w:t>
            </w:r>
          </w:p>
        </w:tc>
      </w:tr>
    </w:tbl>
    <w:bookmarkEnd w:id="10"/>
    <w:bookmarkStart w:id="11" w:name="figures"/>
    <w:p>
      <w:pPr>
        <w:pStyle w:val="Heading2"/>
      </w:pPr>
      <w:r>
        <w:t xml:space="preserve">Figures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Figure_1_three_layer_translational_evidence_v3_1.pdf/png</w:t>
            </w:r>
          </w:p>
        </w:tc>
        <w:tc>
          <w:tcPr/>
          <w:p>
            <w:pPr>
              <w:pStyle w:val="Compact"/>
            </w:pPr>
            <w:r>
              <w:t xml:space="preserve">Three-layer translational evidence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Figure_2_endpoint_stratified_clinical_results_v2_0.pdf/png</w:t>
            </w:r>
          </w:p>
        </w:tc>
        <w:tc>
          <w:tcPr/>
          <w:p>
            <w:pPr>
              <w:pStyle w:val="Compact"/>
            </w:pPr>
            <w:r>
              <w:t xml:space="preserve">Endpoint-stratified clinical estimates.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Figure_4_regimen_architecture_v2_0.pdf/png</w:t>
            </w:r>
          </w:p>
        </w:tc>
        <w:tc>
          <w:tcPr/>
          <w:p>
            <w:pPr>
              <w:pStyle w:val="Compact"/>
            </w:pPr>
            <w:r>
              <w:t xml:space="preserve">Architecture-associated broad toxicity.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Figure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Figure_patient_level_irAE_validation_v3_0.pdf/png</w:t>
            </w:r>
          </w:p>
        </w:tc>
        <w:tc>
          <w:tcPr/>
          <w:p>
            <w:pPr>
              <w:pStyle w:val="Compact"/>
            </w:pPr>
            <w:r>
              <w:t xml:space="preserve">Patient-level severe-irAE immune signature validation.</w:t>
            </w:r>
          </w:p>
        </w:tc>
      </w:tr>
    </w:tbl>
    <w:bookmarkEnd w:id="11"/>
    <w:bookmarkStart w:id="12" w:name="scripts"/>
    <w:p>
      <w:pPr>
        <w:pStyle w:val="Heading2"/>
      </w:pPr>
      <w:r>
        <w:t xml:space="preserve">Scripts</w:t>
      </w:r>
    </w:p>
    <w:p>
      <w:pPr>
        <w:pStyle w:val="FirstParagraph"/>
      </w:pPr>
      <w:r>
        <w:rPr>
          <w:rStyle w:val="VerbatimChar"/>
        </w:rPr>
        <w:t xml:space="preserve">patient_level_validation_hardening_v3_0.py</w:t>
      </w:r>
      <w:r>
        <w:t xml:space="preserve"> </w:t>
      </w:r>
      <w:r>
        <w:t xml:space="preserve">generates patient-level validation hardening outputs.</w:t>
      </w:r>
      <w:r>
        <w:t xml:space="preserve"> </w:t>
      </w:r>
      <w:r>
        <w:rPr>
          <w:rStyle w:val="VerbatimChar"/>
        </w:rPr>
        <w:t xml:space="preserve">build_esmo_open_v3_1_scientific_optimization.py</w:t>
      </w:r>
      <w:r>
        <w:t xml:space="preserve"> </w:t>
      </w:r>
      <w:r>
        <w:t xml:space="preserve">generated the v3.1 scientific optimization inputs.</w:t>
      </w:r>
      <w:r>
        <w:t xml:space="preserve"> </w:t>
      </w:r>
      <w:r>
        <w:rPr>
          <w:rStyle w:val="VerbatimChar"/>
        </w:rPr>
        <w:t xml:space="preserve">build_esmo_open_v3_2_submission_hardening.py</w:t>
      </w:r>
      <w:r>
        <w:t xml:space="preserve"> </w:t>
      </w:r>
      <w:r>
        <w:t xml:space="preserve">generates the v3.2 manuscript, reference audit, QC report and package.</w:t>
      </w:r>
    </w:p>
    <w:bookmarkEnd w:id="12"/>
    <w:bookmarkStart w:id="13" w:name="v3.2-hardening-additions"/>
    <w:p>
      <w:pPr>
        <w:pStyle w:val="Heading2"/>
      </w:pPr>
      <w:r>
        <w:t xml:space="preserve">v3.2 hardening additions</w:t>
      </w:r>
    </w:p>
    <w:p>
      <w:pPr>
        <w:pStyle w:val="FirstParagraph"/>
      </w:pPr>
      <w:r>
        <w:t xml:space="preserve">The v3.2 package adds an audited reference section to the manuscript and separates author-only completion fields into</w:t>
      </w:r>
      <w:r>
        <w:t xml:space="preserve"> </w:t>
      </w:r>
      <w:r>
        <w:rPr>
          <w:rStyle w:val="VerbatimChar"/>
        </w:rPr>
        <w:t xml:space="preserve">ESMO_OPEN_AUTHOR_COMPLETION_CHECKLIST_V3_2.md/docx</w:t>
      </w:r>
      <w:r>
        <w:t xml:space="preserve">. It does not change the locked estimates or add new analyses.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2026-06-28T01:59:54Z</dcterms:created>
  <dcterms:modified xsi:type="dcterms:W3CDTF">2026-06-28T01:59:54Z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