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fe80399225a542be4ce59faa7a61142c0928583"/>
    <w:p>
      <w:pPr>
        <w:pStyle w:val="Heading1"/>
      </w:pPr>
      <w:r>
        <w:t xml:space="preserve">ESMO Open Supplementary Materials Index v3.3</w:t>
      </w:r>
    </w:p>
    <w:bookmarkStart w:id="9" w:name="core-manuscript-files"/>
    <w:p>
      <w:pPr>
        <w:pStyle w:val="Heading2"/>
      </w:pPr>
      <w:r>
        <w:t xml:space="preserve">Core manuscript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ICI_IRAE_TOXICITY_PHENOTYPE_DECOMPOSITION_V3_2_ESMO_OPEN_HARDENED.md/docx</w:t>
            </w:r>
          </w:p>
        </w:tc>
        <w:tc>
          <w:tcPr/>
          <w:p>
            <w:pPr>
              <w:pStyle w:val="Compact"/>
            </w:pPr>
            <w:r>
              <w:t xml:space="preserve">Full scientific manuscript.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ESMO_OPEN_COVER_LETTER_RATIONALE_V3_2.md/docx</w:t>
            </w:r>
          </w:p>
        </w:tc>
        <w:tc>
          <w:tcPr/>
          <w:p>
            <w:pPr>
              <w:pStyle w:val="Compact"/>
            </w:pPr>
            <w:r>
              <w:t xml:space="preserve">Cautious ESMO Open cover letter rationale.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SCIENTIFIC_OPTIMIZATION_AUDIT_V3_1.md</w:t>
            </w:r>
          </w:p>
        </w:tc>
        <w:tc>
          <w:tcPr/>
          <w:p>
            <w:pPr>
              <w:pStyle w:val="Compact"/>
            </w:pPr>
            <w:r>
              <w:t xml:space="preserve">Scientific optimization audit retained from the v3.1 story upgrade.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REFERENCE_TRUTHFULNESS_AUDIT_V3_2.md</w:t>
            </w:r>
          </w:p>
        </w:tc>
        <w:tc>
          <w:tcPr/>
          <w:p>
            <w:pPr>
              <w:pStyle w:val="Compact"/>
            </w:pPr>
            <w:r>
              <w:t xml:space="preserve">Reference identity and DOI audit for v3.2.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ESMO_OPEN_SUBMISSION_HARDENING_QC_V3_2.md</w:t>
            </w:r>
          </w:p>
        </w:tc>
        <w:tc>
          <w:tcPr/>
          <w:p>
            <w:pPr>
              <w:pStyle w:val="Compact"/>
            </w:pPr>
            <w:r>
              <w:t xml:space="preserve">Submission-package QC for the hardened v3.2 package.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V3_2_DEEP_AUDIT_REPORT.md</w:t>
            </w:r>
          </w:p>
        </w:tc>
        <w:tc>
          <w:tcPr/>
          <w:p>
            <w:pPr>
              <w:pStyle w:val="Compact"/>
            </w:pPr>
            <w:r>
              <w:t xml:space="preserve">Deep scientific, numerical and package-consistency self-audit.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REFERENCE_CROSSREF_VERIFICATION_V3_3.csv</w:t>
            </w:r>
          </w:p>
        </w:tc>
        <w:tc>
          <w:tcPr/>
          <w:p>
            <w:pPr>
              <w:pStyle w:val="Compact"/>
            </w:pPr>
            <w:r>
              <w:t xml:space="preserve">Machine-readable CrossRef verification results for the current manuscript reference list.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REFERENCE_CROSSREF_VERIFICATION_V3_3.md</w:t>
            </w:r>
          </w:p>
        </w:tc>
        <w:tc>
          <w:tcPr/>
          <w:p>
            <w:pPr>
              <w:pStyle w:val="Compact"/>
            </w:pPr>
            <w:r>
              <w:t xml:space="preserve">Reviewer-facing summary of reference identity checks.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ESMO_OPEN_V3_3_REFERENCE_HARDENING_QC.md</w:t>
            </w:r>
          </w:p>
        </w:tc>
        <w:tc>
          <w:tcPr/>
          <w:p>
            <w:pPr>
              <w:pStyle w:val="Compact"/>
            </w:pPr>
            <w:r>
              <w:t xml:space="preserve">QC summary for the v3.3 reference-hardening pass.</w:t>
            </w:r>
          </w:p>
        </w:tc>
      </w:tr>
    </w:tbl>
    <w:bookmarkEnd w:id="9"/>
    <w:bookmarkStart w:id="10" w:name="data-and-result-tables"/>
    <w:p>
      <w:pPr>
        <w:pStyle w:val="Heading2"/>
      </w:pPr>
      <w:r>
        <w:t xml:space="preserve">Data and result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evidence_source_registry_v1_3.csv</w:t>
            </w:r>
          </w:p>
        </w:tc>
        <w:tc>
          <w:tcPr/>
          <w:p>
            <w:pPr>
              <w:pStyle w:val="Compact"/>
            </w:pPr>
            <w:r>
              <w:t xml:space="preserve">Locked aggregate source registry.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clinical_endpoint_pooled_estimates_v2_0.csv</w:t>
            </w:r>
          </w:p>
        </w:tc>
        <w:tc>
          <w:tcPr/>
          <w:p>
            <w:pPr>
              <w:pStyle w:val="Compact"/>
            </w:pPr>
            <w:r>
              <w:t xml:space="preserve">Endpoint-compatible pooled estimates and architecture sensitivity.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organ_specific_irae_endpoint_compatibility_audit_v2_1.csv</w:t>
            </w:r>
          </w:p>
        </w:tc>
        <w:tc>
          <w:tcPr/>
          <w:p>
            <w:pPr>
              <w:pStyle w:val="Compact"/>
            </w:pPr>
            <w:r>
              <w:t xml:space="preserve">Organ-specific strict irAE estimability audit.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toxicity_phenotype_interpretation_standard_v3_0.csv</w:t>
            </w:r>
          </w:p>
        </w:tc>
        <w:tc>
          <w:tcPr/>
          <w:p>
            <w:pPr>
              <w:pStyle w:val="Compact"/>
            </w:pPr>
            <w:r>
              <w:t xml:space="preserve">Reporting and interpretation standard.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GSE186144_lozano_irAE_signature_association_v3_0.csv</w:t>
            </w:r>
          </w:p>
        </w:tc>
        <w:tc>
          <w:tcPr/>
          <w:p>
            <w:pPr>
              <w:pStyle w:val="Compact"/>
            </w:pPr>
            <w:r>
              <w:t xml:space="preserve">Patient-level severe-irAE signature associations with FDR and effect sizes.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GSE186144_lozano_leave_one_out_sensitivity_v3_0.csv</w:t>
            </w:r>
          </w:p>
        </w:tc>
        <w:tc>
          <w:tcPr/>
          <w:p>
            <w:pPr>
              <w:pStyle w:val="Compact"/>
            </w:pPr>
            <w:r>
              <w:t xml:space="preserve">Patient-level influence sensitivity.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GSE186144_lozano_therapy_type_sensitivity_v3_0.csv</w:t>
            </w:r>
          </w:p>
        </w:tc>
        <w:tc>
          <w:tcPr/>
          <w:p>
            <w:pPr>
              <w:pStyle w:val="Compact"/>
            </w:pPr>
            <w:r>
              <w:t xml:space="preserve">Therapy-type descriptive sensitivity.</w:t>
            </w:r>
          </w:p>
        </w:tc>
      </w:tr>
    </w:tbl>
    <w:bookmarkEnd w:id="10"/>
    <w:bookmarkStart w:id="11" w:name="figures"/>
    <w:p>
      <w:pPr>
        <w:pStyle w:val="Heading2"/>
      </w:pPr>
      <w:r>
        <w:t xml:space="preserve">Figures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Figure_1_three_layer_translational_evidence_v3_1.pdf/png</w:t>
            </w:r>
          </w:p>
        </w:tc>
        <w:tc>
          <w:tcPr/>
          <w:p>
            <w:pPr>
              <w:pStyle w:val="Compact"/>
            </w:pPr>
            <w:r>
              <w:t xml:space="preserve">Three-layer translational evidence model.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Figure_2_endpoint_stratified_clinical_results_v2_0.pdf/png</w:t>
            </w:r>
          </w:p>
        </w:tc>
        <w:tc>
          <w:tcPr/>
          <w:p>
            <w:pPr>
              <w:pStyle w:val="Compact"/>
            </w:pPr>
            <w:r>
              <w:t xml:space="preserve">Endpoint-stratified clinical estimates.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Figure_4_regimen_architecture_v2_0.pdf/png</w:t>
            </w:r>
          </w:p>
        </w:tc>
        <w:tc>
          <w:tcPr/>
          <w:p>
            <w:pPr>
              <w:pStyle w:val="Compact"/>
            </w:pPr>
            <w:r>
              <w:t xml:space="preserve">Architecture-associated broad toxicity.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Figure_patient_level_irAE_validation_v3_0.pdf/png</w:t>
            </w:r>
          </w:p>
        </w:tc>
        <w:tc>
          <w:tcPr/>
          <w:p>
            <w:pPr>
              <w:pStyle w:val="Compact"/>
            </w:pPr>
            <w:r>
              <w:t xml:space="preserve">Patient-level severe-irAE immune signature validation.</w:t>
            </w:r>
          </w:p>
        </w:tc>
      </w:tr>
    </w:tbl>
    <w:bookmarkEnd w:id="11"/>
    <w:bookmarkStart w:id="12" w:name="scripts"/>
    <w:p>
      <w:pPr>
        <w:pStyle w:val="Heading2"/>
      </w:pPr>
      <w:r>
        <w:t xml:space="preserve">Scripts</w:t>
      </w:r>
    </w:p>
    <w:p>
      <w:pPr>
        <w:pStyle w:val="FirstParagraph"/>
      </w:pPr>
      <w:r>
        <w:rPr>
          <w:rStyle w:val="VerbatimChar"/>
        </w:rPr>
        <w:t xml:space="preserve">patient_level_validation_hardening_v3_0.py</w:t>
      </w:r>
      <w:r>
        <w:t xml:space="preserve"> </w:t>
      </w:r>
      <w:r>
        <w:t xml:space="preserve">generates patient-level validation hardening outputs.</w:t>
      </w:r>
      <w:r>
        <w:t xml:space="preserve"> </w:t>
      </w:r>
      <w:r>
        <w:rPr>
          <w:rStyle w:val="VerbatimChar"/>
        </w:rPr>
        <w:t xml:space="preserve">build_esmo_open_v3_1_scientific_optimization.py</w:t>
      </w:r>
      <w:r>
        <w:t xml:space="preserve"> </w:t>
      </w:r>
      <w:r>
        <w:t xml:space="preserve">generated the v3.1 scientific optimization inputs.</w:t>
      </w:r>
      <w:r>
        <w:t xml:space="preserve"> </w:t>
      </w:r>
      <w:r>
        <w:rPr>
          <w:rStyle w:val="VerbatimChar"/>
        </w:rPr>
        <w:t xml:space="preserve">build_esmo_open_v3_2_submission_hardening.py</w:t>
      </w:r>
      <w:r>
        <w:t xml:space="preserve"> </w:t>
      </w:r>
      <w:r>
        <w:t xml:space="preserve">generates the v3.2 manuscript, reference audit, QC report and package.</w:t>
      </w:r>
    </w:p>
    <w:bookmarkEnd w:id="12"/>
    <w:bookmarkStart w:id="13" w:name="v3.2-hardening-additions"/>
    <w:p>
      <w:pPr>
        <w:pStyle w:val="Heading2"/>
      </w:pPr>
      <w:r>
        <w:t xml:space="preserve">v3.2 hardening additions</w:t>
      </w:r>
    </w:p>
    <w:p>
      <w:pPr>
        <w:pStyle w:val="FirstParagraph"/>
      </w:pPr>
      <w:r>
        <w:t xml:space="preserve">The v3.2 package adds an audited reference section to the manuscript and separates author-only completion fields into</w:t>
      </w:r>
      <w:r>
        <w:t xml:space="preserve"> </w:t>
      </w:r>
      <w:r>
        <w:rPr>
          <w:rStyle w:val="VerbatimChar"/>
        </w:rPr>
        <w:t xml:space="preserve">ESMO_OPEN_AUTHOR_COMPLETION_CHECKLIST_V3_2.md/docx</w:t>
      </w:r>
      <w:r>
        <w:t xml:space="preserve">. It does not change the locked estimates or add new analyses.</w:t>
      </w:r>
    </w:p>
    <w:bookmarkEnd w:id="13"/>
    <w:bookmarkStart w:id="14" w:name="v3.3-reference-hardening-additions"/>
    <w:p>
      <w:pPr>
        <w:pStyle w:val="Heading2"/>
      </w:pPr>
      <w:r>
        <w:t xml:space="preserve">v3.3 reference hardening additions</w:t>
      </w:r>
    </w:p>
    <w:p>
      <w:pPr>
        <w:pStyle w:val="FirstParagraph"/>
      </w:pPr>
      <w:r>
        <w:t xml:space="preserve">The v3.3 package adds a current CrossRef verification table for all numbered references in the v3.2 manuscript. It does not change the scientific manuscript, estimates, figures or claim boundaries.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2026-06-28T02:05:35Z</dcterms:created>
  <dcterms:modified xsi:type="dcterms:W3CDTF">2026-06-28T02:05:35Z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