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Endpoint-Aware Evidence Framework for Interpreting Immune Checkpoint Inhibitor Toxicity Across Lymphoma and Solid Tumors</w:t>
      </w:r>
    </w:p>
    <w:p>
      <w:r>
        <w:rPr>
          <w:b/>
        </w:rPr>
        <w:t>JITC portal manuscript v1.5; author metadata pending.</w:t>
      </w:r>
    </w:p>
    <w:p>
      <w:r>
        <w:rPr>
          <w:b w:val="0"/>
        </w:rPr>
        <w:t>Article type: Original Research (AUTHOR TO CONFIRM IN JITC PORTAL)</w:t>
      </w:r>
    </w:p>
    <w:p>
      <w:r>
        <w:rPr>
          <w:b w:val="0"/>
        </w:rPr>
      </w:r>
    </w:p>
    <w:p>
      <w:pPr>
        <w:pStyle w:val="Heading1"/>
      </w:pPr>
      <w:r>
        <w:t>Abstract</w:t>
      </w:r>
    </w:p>
    <w:p>
      <w:r>
        <w:t>Cross-tumor comparisons of immune checkpoint inhibitor (ICI) toxicity are frequently limited by endpoint heterogeneity rather than by the absence of reported safety data. We developed an endpoint-aware, claim-gated evidence framework to evaluate apparent ICI toxicity differences between lymphoma and solid tumors without treating immune-related adverse events (irAEs), immune-mediated adverse events (imAEs), adverse events of special interest, treatment-related adverse events, selected adverse events, registry rows, regulatory rows and subgroup reports as a single exchangeable endpoint. The v1.4 registry contained 384 rows across 36 study/source blocks. Only 71 rows were eligible for endpoint-compatible primary pooling, whereas 313 rows were retained as sensitivity, audit or context evidence with documented exclusion reasons. The endpoint comparability index classified 115 rows as high-comparability, 49 as moderate-comparability and 220 as low-comparability audit/context evidence. In a treatment-related high-grade arm-level stratum, lymphoma arms showed 19.1% (95% CI, 6.1-46.4%); k=4, events=75, safety N=462, I2=95.2%, whereas solid-tumor arms showed 31.1% (95% CI, 20.2-44.6%); k=14, events=2237, safety N=5130, I2=98.7%; this contrast was heterogeneous and sensitivity-only. Strict organ-specific irAE evidence remained too sparse and source-concentrated for lineage-wide pooling. Transcriptomic analyses supported immune-context remodeling rather than simple immune deficiency, and paired methylprednisolone perturbation supported steroid-sensitive inflammatory biology without establishing clinical steroid mediation. The main contribution is a reproducible immunotherapy safety evidence framework that defines what can be pooled, what remains sensitivity-only and what is not clinically estimable.</w:t>
      </w:r>
    </w:p>
    <w:p>
      <w:pPr>
        <w:pStyle w:val="Heading1"/>
      </w:pPr>
      <w:r>
        <w:t>Introduction</w:t>
      </w:r>
    </w:p>
    <w:p>
      <w:r>
        <w:t>ICI safety is central to immunotherapy trial interpretation, yet the safety endpoints used across tumor types are not interchangeable [1-15]. Pivotal trials and regulatory sources may report investigator-attributed irAEs, sponsor-defined imAEs, adverse events of special interest, treatment-related grade 3 or higher adverse events, selected organ events, pooled label events, registry summaries or subgroup-only estimates [1-33]. These labels define different numerators, denominators, attribution rules and ascertainment structures. When such rows are pooled without endpoint stratification, a source-reporting problem can be mistaken for a biological tumor-lineage effect.</w:t>
      </w:r>
    </w:p>
    <w:p>
      <w:r>
        <w:t>This problem is particularly relevant for comparisons between lymphoma and solid tumors [16-23]. Hodgkin lymphoma, primary mediastinal large B-cell lymphoma and other lymphoma contexts differ from solid tumors in immune architecture, prior therapies, transplant exposure, radiation exposure, treatment backbone and supportive care [10,15,18,19,27,29,32]. At the same time, many lymphoma ICI reports focus on PD-1 monotherapy or PD-1-containing regimens that are not steroid-core antitumor backbones. Therefore, the question is not whether tumor lineage alone explains ICI toxicity patterns. The clinically useful question is which parts of the public evidence base allow endpoint-compatible inference, which parts are sensitivity-only and which proposed mechanisms remain biologically plausible but clinically unproven.</w:t>
      </w:r>
    </w:p>
    <w:p>
      <w:r>
        <w:t>We designed this study as an immunotherapy safety evidence framework for trialists, meta-analysts and translational investigators. The framework combines a row-level endpoint taxonomy, a source-tier audit, an endpoint comparability index, endpoint-stratified pooled estimates where justified, transcriptomic plausibility analyses and a formal claim gate. The goal is to prevent overinterpretation of lymphoma-versus-solid tumor toxicity differences while preserving the information contained in heterogeneous public safety reports.</w:t>
      </w:r>
    </w:p>
    <w:p>
      <w:pPr>
        <w:pStyle w:val="Heading1"/>
      </w:pPr>
      <w:r>
        <w:t>Methods</w:t>
      </w:r>
    </w:p>
    <w:p>
      <w:r>
        <w:t>Clinical evidence was organized in data/evidence_source_registry_v1_3.csv, which served as the locked registry for the v1.4 JITC candidate and was cross-referenced against resolved trial publications and source identifiers [1-33]. Each row records study name, trial identifier when available, tumor lineage, tumor type, lymphoma subtype, regimen, ICI agent and class, chemotherapy context, timing architecture, steroid-core regimen availability, endpoint label as written in the source, endpoint taxonomy, safety denominator, event count, rate, grade, source tier, quantitative role, source identifier, extraction note, primary-pooling eligibility and exclusion reason. Endpoint classes were prespecified as strict irAE, immune-mediated AE/imAE, adverse events of special interest, treatment-related AE, selected AE sensitivity, regulatory sensitivity, registry audit only, subgroup/post-hoc sensitivity, lower-bound evidence and context only.</w:t>
      </w:r>
    </w:p>
    <w:p>
      <w:r>
        <w:t>The endpoint comparability index was created for v1.4 to make the source audit reviewer-facing. It is a descriptive audit score, not a causal model. Rows received component points for endpoint compatibility, source tier, denominator clarity, organ specificity, primary-pooling eligibility, local source traceability and absence of duplicate-row independence risk. The score was used to classify rows as high-comparability for endpoint-specific analysis, moderate-comparability for sensitivity or stratified use, or low-comparability audit/context evidence. The index is reported in results/endpoint_comparability_index_v1_4.csv.</w:t>
      </w:r>
    </w:p>
    <w:p>
      <w:r>
        <w:t>Random-effects pooled proportions were estimated only within endpoint-compatible strata. Pooled rates were estimated on the logit scale and back-transformed to percentages. Prediction intervals and heterogeneity were reported where estimable. Single-row strata and endpoint-incompatible strata were labelled as not pooled. Arm-level meta-regression used weighted least squares on logit event rates with robust standard errors and was interpreted as ecological sensitivity analysis. No model was used to infer intrinsic lineage causality, exact chemotherapy timing effects or clinical steroid mediation.</w:t>
      </w:r>
    </w:p>
    <w:p>
      <w:r>
        <w:t>Transcriptomic analyses were retained as biological plausibility and falsification support. Public datasets included GSE87371 lymphoma subtypes, CTSP-DLBCL1 DLBCL RNA-seq, GSE91061 melanoma pretreatment samples and GSE112101 paired methylprednisolone perturbation data; dataset identifiers are provided in the supplementary source index rather than formatted as journal references. Primary scores used locked z-score average signatures, and rank-normalized within-dataset scores were retained as transformation sensitivity rather than as a fully independent GSVA or ssGSEA method. Cross-cohort medians were treated as descriptive context only because the datasets were not batch-harmonized and were not linked to irAE outcomes.</w:t>
      </w:r>
    </w:p>
    <w:p>
      <w:pPr>
        <w:pStyle w:val="Heading1"/>
      </w:pPr>
      <w:r>
        <w:t>Results</w:t>
      </w:r>
    </w:p>
    <w:p>
      <w:pPr>
        <w:pStyle w:val="Heading2"/>
      </w:pPr>
      <w:r>
        <w:t>Endpoint Incompatibility Is The Primary Finding</w:t>
      </w:r>
    </w:p>
    <w:p>
      <w:r>
        <w:t>The registry contained 384 rows across 36 study/source blocks. Endpoint distribution was heterogeneous: strict irAE accounted for 101 rows, immune-mediated AE/imAE for 71, registry audit only for 56, regulatory sensitivity for 50, context only for 31, subgroup/post-hoc sensitivity for 29, selected AE sensitivity for 28 and treatment-related AE for 18. Only 71 rows were eligible for endpoint-compatible primary pooling. The remaining 313 rows were retained because they improve source coverage or sensitivity interpretation, but they were not allowed to define a single pooled ICI toxicity endpoint.</w:t>
      </w:r>
    </w:p>
    <w:p>
      <w:r>
        <w:t>The endpoint comparability index made this structure explicit. High-comparability rows were suitable for endpoint-specific analysis, moderate-comparability rows were suitable for sensitivity or stratified use, and low-comparability rows were retained as audit or context evidence. This index is not intended to rank clinical importance. Its purpose is to prevent a row with a reported percentage from being upgraded into a primary inference row when the endpoint label, denominator, source tier or independence structure is not compatible.</w:t>
      </w:r>
    </w:p>
    <w:p>
      <w:pPr>
        <w:pStyle w:val="Heading2"/>
      </w:pPr>
      <w:r>
        <w:t>Arm-Level High-Grade Toxicity Is A Sensitivity Result, Not The Main Claim</w:t>
      </w:r>
    </w:p>
    <w:p>
      <w:r>
        <w:t>The treatment-related high-grade arm-level stratum showed a visible lymphoma-versus-solid tumor contrast across source-audited trial arms [7,9,10,14,15,17,19,20,22-25,27]. Lymphoma arms showed 19.1% (95% CI, 6.1-46.4%); k=4, events=75, safety N=462, I2=95.2%, whereas solid-tumor arms showed 31.1% (95% CI, 20.2-44.6%); k=14, events=2237, safety N=5130, I2=98.7%. This result is useful because it reflects broad arm-level safety burden in commonly cited trials. However, it is not a strict inflammatory irAE endpoint, and it includes nonimmune toxicities, chemotherapy toxicity, laboratory abnormalities and regimen-specific adverse events. It therefore remains a sensitivity result rather than the central inference of the manuscript.</w:t>
      </w:r>
    </w:p>
    <w:p>
      <w:r>
        <w:t>The exploratory model results were consistent with this bounded interpretation. In the treatment-related high-grade lineage-only model, the solid-tumor coefficient was odds ratio 3.51 (95% CI, 1.03-11.99; P=0.045). In a broader high-grade model including endpoint taxonomy and treatment/timing architecture, the lineage coefficient was odds ratio 3.05 (95% CI, 1.29-7.22; P=0.011). These estimates are ecological, heterogeneous and sparse for lymphoma. They show that endpoint and architecture terms materially shape interpretation, but they do not establish a causal lineage effect.</w:t>
      </w:r>
    </w:p>
    <w:p>
      <w:pPr>
        <w:pStyle w:val="Heading2"/>
      </w:pPr>
      <w:r>
        <w:t>Strict Organ-Specific irAE Inference Remains Not Estimable</w:t>
      </w:r>
    </w:p>
    <w:p>
      <w:r>
        <w:t>Strict organ-specific irAE rows remain too sparse and source-concentrated for definitive lineage-wide pooling. Lymphoma strict organ rows are concentrated in cHL/PMBL PD-1 contexts, while solid-tumor strict rows are concentrated in limited studies or subgroup sources. Many organ labels have too few independent source blocks for random-effects pooling. This negative result is important for immunotherapy safety interpretation because it prevents broad claims that one tumor lineage has lower inflammatory toxicity across organs based on incomplete organ tables.</w:t>
      </w:r>
    </w:p>
    <w:p>
      <w:pPr>
        <w:pStyle w:val="Heading2"/>
      </w:pPr>
      <w:r>
        <w:t>Treatment Architecture Should Be Reported Before Timing Claims Are Made</w:t>
      </w:r>
    </w:p>
    <w:p>
      <w:r>
        <w:t>Treatment-related high-grade toxicity varied by regimen architecture. Concurrent chemo-ICI arms showed 58.9% (95% CI, 44.0-72.4%); k=5, events=1568, safety N=2473, I2=97.9%. No-cytotoxic-chemotherapy contexts showed 17.0% (95% CI, 10.2-26.9%); k=12, events=714, safety N=3068, I2=97.4%. The ICI-before-chemotherapy category was not pooled (not pooled: k&lt;2). These patterns support architecture-aware reporting, but they do not estimate the causal effect of giving ICI before, during or after chemotherapy. Future trial reports should record exact timing, endpoint definition, steroid exposure and follow-up window before timing-specific irAE questions are treated as estimable.</w:t>
      </w:r>
    </w:p>
    <w:p>
      <w:pPr>
        <w:pStyle w:val="Heading2"/>
      </w:pPr>
      <w:r>
        <w:t>Transcriptomic Evidence Supports Biological Plausibility With Clear Boundaries</w:t>
      </w:r>
    </w:p>
    <w:p>
      <w:r>
        <w:t>The transcriptomic layer supports immune-context remodeling rather than simple immune deficiency. Lymphoma datasets showed subtype-dependent variation in IFNG signaling, T-cell-inflamed programs, cytotoxicity, antigen presentation, myeloid inflammation and B-cell context. GSE91061 melanoma samples provided a solid-tumor ICI comparator, but cross-cohort absolute medians were not interpreted as causal lineage biology because the datasets were not batch-harmonized. The transcriptomic layer therefore supports plausibility and falsification, not clinical effect estimation.</w:t>
      </w:r>
    </w:p>
    <w:p>
      <w:r>
        <w:t>Paired methylprednisolone perturbation provided the strongest mechanistic signal. Methylprednisolone induced the glucocorticoid-response program with median paired delta 0.766 (bootstrap 95% CI, 0.671 to 0.847; P&lt;0.001). It suppressed IFNG signaling with median paired delta -0.285 (bootstrap 95% CI, -0.439 to -0.110; P&lt;0.001), MHC-II antigen-presentation with median paired delta -0.124 (bootstrap 95% CI, -0.197 to -0.076; P&lt;0.001) and myeloid inflammation with median paired delta -0.199 (bootstrap 95% CI, -0.285 to -0.101; P&lt;0.001). These results support steroid-sensitive inflammatory biology. They do not establish a patient-level steroid explanation for apparent lymphoma-versus-solid tumor irAE patterns because the current clinical registry contains zero true steroid-core lymphoma ICI trial-arm rows and lacks patient-level steroid timing, dose and irAE outcomes.</w:t>
      </w:r>
    </w:p>
    <w:p>
      <w:pPr>
        <w:pStyle w:val="Heading2"/>
      </w:pPr>
      <w:r>
        <w:t>Claim Gate And Reporting Standard Convert The Analysis Into A Reusable Framework</w:t>
      </w:r>
    </w:p>
    <w:p>
      <w:r>
        <w:t>The claim gate classified each central statement as supported for primary inference, supported for sensitivity analysis only, descriptive/context only, mechanistically plausible, not clinically estimable, or blocked. The strongest primary-inference claim is that cross-tumor ICI toxicity comparisons require endpoint stratification and claim gating. Treatment-related high-grade arm-level contrasts, KEYNOTE-189/407 global imAE sensitivity rows and regimen architecture associations are sensitivity-only. Immune-context remodeling is descriptive, and steroid perturbation is mechanistically plausible. Intrinsic lineage causality, definitive lineage-wide organ-irAE meta-analysis, exact chemotherapy timing effects and clinical steroid mediation remain blocked or not clinically estimable.</w:t>
      </w:r>
    </w:p>
    <w:p>
      <w:r>
        <w:t>To make this useful for immunotherapy trial reporting, we created a prospective safety reporting standard. The minimum fields include endpoint label, attribution rule, organ specificity, grade threshold, denominator, follow-up window, treatment architecture, steroid exposure timing/dose/duration, patient-level linkage and source tier. This standard is a practical output of the evidence framework: future cross-tumor comparisons should begin with endpoint architecture before estimating differences.</w:t>
      </w:r>
    </w:p>
    <w:p>
      <w:pPr>
        <w:pStyle w:val="Heading1"/>
      </w:pPr>
      <w:r>
        <w:t>Discussion</w:t>
      </w:r>
    </w:p>
    <w:p>
      <w:r>
        <w:t>This JITC-oriented version reframes the study as a safety evidence framework rather than a lineage-toxicity meta-analysis. The main finding is that cross-tumor ICI toxicity evidence is endpoint-architecture dependent. A single pooled incidence estimate would merge rows that differ in attribution rule, source tier, denominator, organ specificity and treatment architecture. The endpoint comparability index and claim gate provide a reproducible way to decide what can be pooled, what can be used as sensitivity evidence and what should remain context only.</w:t>
      </w:r>
    </w:p>
    <w:p>
      <w:r>
        <w:t>The framework also clarifies how to interpret the apparent lymphoma-versus-solid tumor contrast [10,15,18,19,27,29,32]. Broad high-grade treatment-related toxicity is lower in the current lymphoma stratum than in the current solid-tumor stratum, but that result is heterogeneous, arm-level and not equivalent to inflammatory irAE burden. Strict organ-specific irAE evidence is the more direct layer for inflammatory toxicity, yet it remains too sparse for definitive lineage-wide inference. The appropriate conclusion is therefore not a tumor-lineage-only explanation, but that endpoint definition and treatment architecture strongly condition any comparison.</w:t>
      </w:r>
    </w:p>
    <w:p>
      <w:r>
        <w:t>The biological analyses strengthen plausibility without changing the clinical inference boundary. Lymphoma transcriptomes are compatible with immune-context remodeling, not with a simple immune-deficient model. Glucocorticoid perturbation suppresses inflammatory programs in paired immune-cell data. These observations help explain why treatment architecture and immune context are biologically credible modifiers. However, because the transcriptomic datasets are not patient-linked to irAE outcomes and the lymphoma ICI clinical rows are not steroid-core regimens, these analyses cannot establish clinical steroid mediation.</w:t>
      </w:r>
    </w:p>
    <w:p>
      <w:r>
        <w:t>For immunotherapy practice and trial interpretation, the study's value is procedural. Trialists and reviewers should require endpoint labels, attribution rules, denominators, organ specificity, treatment architecture and steroid exposure fields before comparing toxicity across tumor lineages. Meta-analysts should avoid merging strict irAE, imAE, AEOSI, treatment-related AE, selected AE, registry, regulatory and subgroup rows as if they describe one endpoint. Translational studies should link tumor immune context and steroid exposure to patient-level irAE outcomes before claiming mechanism.</w:t>
      </w:r>
    </w:p>
    <w:p>
      <w:r>
        <w:t>The limitations are substantial. The clinical evidence is aggregate and arm-level. Follow-up duration, baseline autoimmunity, prior transplant, prior radiation, prior treatment burden, steroid premedication, steroid treatment after irAE onset and adjudication rules are incompletely extractable from public reports. Strict organ-specific rows are sparse. The transcriptomic analysis uses public cohorts, transformation sensitivity and descriptive cross-cohort context rather than a fully harmonized patient-linked analysis. These limitations are not incidental; they are the reason the claim gate is needed.</w:t>
      </w:r>
    </w:p>
    <w:p>
      <w:pPr>
        <w:pStyle w:val="Heading1"/>
      </w:pPr>
      <w:r>
        <w:t>Conclusions</w:t>
      </w:r>
    </w:p>
    <w:p>
      <w:r>
        <w:t>The current evidence supports an endpoint-aware, claim-gated framework for ICI toxicity comparison across lymphoma and solid tumors. It supports source-layer audit, endpoint stratification, treatment architecture sensitivity, immune-context remodeling as biological plausibility and steroid-sensitive inflammatory programs as perturbational evidence. It does not support intrinsic lineage causality, definitive lineage-wide organ-specific irAE pooling, exact chemotherapy-timing causality or clinical steroid mediation. A JITC submission should lead with this framework contribution and keep all lineage and steroid statements within these boundaries.</w:t>
      </w:r>
    </w:p>
    <w:p>
      <w:pPr>
        <w:pStyle w:val="Heading1"/>
      </w:pPr>
      <w:r>
        <w:t>Data And Code Availability</w:t>
      </w:r>
    </w:p>
    <w:p>
      <w:r>
        <w:t>All v1.4 files are generated from locked v1.3 registry and result files. The JITC-oriented v1.4 files include results/endpoint_comparability_index_v1_4.csv, manuscript/SUPPLEMENTARY_SOURCE_INDEX_V1_4.md, manuscript/PROSPECTIVE_ICI_SAFETY_REPORTING_STANDARD_V1_4.md and manuscript/ICI_IRAE_DECOMPOSITION_MANUSCRIPT_V1_4_JITC_CANDIDATE.md. The parent v1.3 package is reproduced with bash scripts/run_all_v1_3.sh, and the v1.4 JITC files are generated with python3 scripts/build_jitc_v1_4_package.py.</w:t>
      </w:r>
    </w:p>
    <w:p>
      <w:pPr>
        <w:pStyle w:val="Heading1"/>
      </w:pPr>
      <w:r>
        <w:t>Key Messages</w:t>
      </w:r>
    </w:p>
    <w:p>
      <w:pPr>
        <w:pStyle w:val="Heading2"/>
      </w:pPr>
      <w:r>
        <w:t>What is already known on this topic</w:t>
      </w:r>
    </w:p>
    <w:p>
      <w:pPr>
        <w:pStyle w:val="ListBullet"/>
      </w:pPr>
      <w:r>
        <w:t>Immune checkpoint inhibitor safety is reported with heterogeneous endpoint labels across tumor types and source tiers.</w:t>
      </w:r>
    </w:p>
    <w:p>
      <w:pPr>
        <w:pStyle w:val="ListBullet"/>
      </w:pPr>
      <w:r>
        <w:t>Cross-tumor toxicity comparisons can be distorted when irAE, imAE, AEOSI, treatment-related AE, selected AE, registry and regulatory rows are pooled as one endpoint.</w:t>
      </w:r>
    </w:p>
    <w:p>
      <w:pPr>
        <w:pStyle w:val="Heading2"/>
      </w:pPr>
      <w:r>
        <w:t>What this study adds</w:t>
      </w:r>
    </w:p>
    <w:p>
      <w:pPr>
        <w:pStyle w:val="ListBullet"/>
      </w:pPr>
      <w:r>
        <w:t>The study provides an endpoint-aware, claim-gated framework that separates primary pooling, sensitivity evidence, audit/context evidence and non-estimable claims.</w:t>
      </w:r>
    </w:p>
    <w:p>
      <w:pPr>
        <w:pStyle w:val="ListBullet"/>
      </w:pPr>
      <w:r>
        <w:t>The current lymphoma-versus-solid tumor signal is most defensible as endpoint- and architecture-dependent sensitivity evidence, not intrinsic lineage causality.</w:t>
      </w:r>
    </w:p>
    <w:p>
      <w:pPr>
        <w:pStyle w:val="Heading2"/>
      </w:pPr>
      <w:r>
        <w:t>How this study might affect research, practice or policy</w:t>
      </w:r>
    </w:p>
    <w:p>
      <w:pPr>
        <w:pStyle w:val="ListBullet"/>
      </w:pPr>
      <w:r>
        <w:t>Future ICI safety reports should specify endpoint label, attribution rule, organ specificity, denominator, follow-up window, treatment architecture and steroid exposure before cross-lineage comparisons are attempted.</w:t>
      </w:r>
    </w:p>
    <w:p>
      <w:pPr>
        <w:pStyle w:val="Heading1"/>
      </w:pPr>
      <w:r>
        <w:t>Main Tables</w:t>
      </w:r>
    </w:p>
    <w:p>
      <w:r>
        <w:rPr>
          <w:b/>
        </w:rPr>
        <w:t>Table 1. Evidence source registry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endpoint_taxonomy</w:t>
            </w:r>
          </w:p>
        </w:tc>
        <w:tc>
          <w:tcPr>
            <w:tcW w:type="dxa" w:w="2340"/>
          </w:tcPr>
          <w:p>
            <w:r>
              <w:t>source_tier</w:t>
            </w:r>
          </w:p>
        </w:tc>
        <w:tc>
          <w:tcPr>
            <w:tcW w:type="dxa" w:w="2340"/>
          </w:tcPr>
          <w:p>
            <w:r>
              <w:t>eligibility_for_primary_pooling</w:t>
            </w:r>
          </w:p>
        </w:tc>
        <w:tc>
          <w:tcPr>
            <w:tcW w:type="dxa" w:w="2340"/>
          </w:tcPr>
          <w:p>
            <w:r>
              <w:t>rows</w:t>
            </w:r>
          </w:p>
        </w:tc>
      </w:tr>
      <w:tr>
        <w:tc>
          <w:tcPr>
            <w:tcW w:type="dxa" w:w="2340"/>
          </w:tcPr>
          <w:p>
            <w:r>
              <w:t>context only</w:t>
            </w:r>
          </w:p>
        </w:tc>
        <w:tc>
          <w:tcPr>
            <w:tcW w:type="dxa" w:w="2340"/>
          </w:tcPr>
          <w:p>
            <w:r>
              <w:t>pooled_or_manufacturer_label</w:t>
            </w:r>
          </w:p>
        </w:tc>
        <w:tc>
          <w:tcPr>
            <w:tcW w:type="dxa" w:w="2340"/>
          </w:tcPr>
          <w:p>
            <w:r>
              <w:t>no</w:t>
            </w:r>
          </w:p>
        </w:tc>
        <w:tc>
          <w:tcPr>
            <w:tcW w:type="dxa" w:w="2340"/>
          </w:tcPr>
          <w:p>
            <w:r>
              <w:t>20</w:t>
            </w:r>
          </w:p>
        </w:tc>
      </w:tr>
      <w:tr>
        <w:tc>
          <w:tcPr>
            <w:tcW w:type="dxa" w:w="2340"/>
          </w:tcPr>
          <w:p>
            <w:r>
              <w:t>context only</w:t>
            </w:r>
          </w:p>
        </w:tc>
        <w:tc>
          <w:tcPr>
            <w:tcW w:type="dxa" w:w="2340"/>
          </w:tcPr>
          <w:p>
            <w:r>
              <w:t>secondary_report</w:t>
            </w:r>
          </w:p>
        </w:tc>
        <w:tc>
          <w:tcPr>
            <w:tcW w:type="dxa" w:w="2340"/>
          </w:tcPr>
          <w:p>
            <w:r>
              <w:t>no</w:t>
            </w:r>
          </w:p>
        </w:tc>
        <w:tc>
          <w:tcPr>
            <w:tcW w:type="dxa" w:w="2340"/>
          </w:tcPr>
          <w:p>
            <w:r>
              <w:t>3</w:t>
            </w:r>
          </w:p>
        </w:tc>
      </w:tr>
      <w:tr>
        <w:tc>
          <w:tcPr>
            <w:tcW w:type="dxa" w:w="2340"/>
          </w:tcPr>
          <w:p>
            <w:r>
              <w:t>context only</w:t>
            </w:r>
          </w:p>
        </w:tc>
        <w:tc>
          <w:tcPr>
            <w:tcW w:type="dxa" w:w="2340"/>
          </w:tcPr>
          <w:p>
            <w:r>
              <w:t>trial_arm_summary</w:t>
            </w:r>
          </w:p>
        </w:tc>
        <w:tc>
          <w:tcPr>
            <w:tcW w:type="dxa" w:w="2340"/>
          </w:tcPr>
          <w:p>
            <w:r>
              <w:t>no</w:t>
            </w:r>
          </w:p>
        </w:tc>
        <w:tc>
          <w:tcPr>
            <w:tcW w:type="dxa" w:w="2340"/>
          </w:tcPr>
          <w:p>
            <w:r>
              <w:t>8</w:t>
            </w:r>
          </w:p>
        </w:tc>
      </w:tr>
      <w:tr>
        <w:tc>
          <w:tcPr>
            <w:tcW w:type="dxa" w:w="2340"/>
          </w:tcPr>
          <w:p>
            <w:r>
              <w:t>immune-mediated AE/imAE</w:t>
            </w:r>
          </w:p>
        </w:tc>
        <w:tc>
          <w:tcPr>
            <w:tcW w:type="dxa" w:w="2340"/>
          </w:tcPr>
          <w:p>
            <w:r>
              <w:t>appendix_audited_global_imAE</w:t>
            </w:r>
          </w:p>
        </w:tc>
        <w:tc>
          <w:tcPr>
            <w:tcW w:type="dxa" w:w="2340"/>
          </w:tcPr>
          <w:p>
            <w:r>
              <w:t>no</w:t>
            </w:r>
          </w:p>
        </w:tc>
        <w:tc>
          <w:tcPr>
            <w:tcW w:type="dxa" w:w="2340"/>
          </w:tcPr>
          <w:p>
            <w:r>
              <w:t>8</w:t>
            </w:r>
          </w:p>
        </w:tc>
      </w:tr>
      <w:tr>
        <w:tc>
          <w:tcPr>
            <w:tcW w:type="dxa" w:w="2340"/>
          </w:tcPr>
          <w:p>
            <w:r>
              <w:t>immune-mediated AE/imAE</w:t>
            </w:r>
          </w:p>
        </w:tc>
        <w:tc>
          <w:tcPr>
            <w:tcW w:type="dxa" w:w="2340"/>
          </w:tcPr>
          <w:p>
            <w:r>
              <w:t>global_sponsor_identified_sensitivity</w:t>
            </w:r>
          </w:p>
        </w:tc>
        <w:tc>
          <w:tcPr>
            <w:tcW w:type="dxa" w:w="2340"/>
          </w:tcPr>
          <w:p>
            <w:r>
              <w:t>no</w:t>
            </w:r>
          </w:p>
        </w:tc>
        <w:tc>
          <w:tcPr>
            <w:tcW w:type="dxa" w:w="2340"/>
          </w:tcPr>
          <w:p>
            <w:r>
              <w:t>44</w:t>
            </w:r>
          </w:p>
        </w:tc>
      </w:tr>
      <w:tr>
        <w:tc>
          <w:tcPr>
            <w:tcW w:type="dxa" w:w="2340"/>
          </w:tcPr>
          <w:p>
            <w:r>
              <w:t>immune-mediated AE/imAE</w:t>
            </w:r>
          </w:p>
        </w:tc>
        <w:tc>
          <w:tcPr>
            <w:tcW w:type="dxa" w:w="2340"/>
          </w:tcPr>
          <w:p>
            <w:r>
              <w:t>pooled_or_manufacturer_label</w:t>
            </w:r>
          </w:p>
        </w:tc>
        <w:tc>
          <w:tcPr>
            <w:tcW w:type="dxa" w:w="2340"/>
          </w:tcPr>
          <w:p>
            <w:r>
              <w:t>no</w:t>
            </w:r>
          </w:p>
        </w:tc>
        <w:tc>
          <w:tcPr>
            <w:tcW w:type="dxa" w:w="2340"/>
          </w:tcPr>
          <w:p>
            <w:r>
              <w:t>16</w:t>
            </w:r>
          </w:p>
        </w:tc>
      </w:tr>
      <w:tr>
        <w:tc>
          <w:tcPr>
            <w:tcW w:type="dxa" w:w="2340"/>
          </w:tcPr>
          <w:p>
            <w:r>
              <w:t>immune-mediated AE/imAE</w:t>
            </w:r>
          </w:p>
        </w:tc>
        <w:tc>
          <w:tcPr>
            <w:tcW w:type="dxa" w:w="2340"/>
          </w:tcPr>
          <w:p>
            <w:r>
              <w:t>trial_arm_summary</w:t>
            </w:r>
          </w:p>
        </w:tc>
        <w:tc>
          <w:tcPr>
            <w:tcW w:type="dxa" w:w="2340"/>
          </w:tcPr>
          <w:p>
            <w:r>
              <w:t>no</w:t>
            </w:r>
          </w:p>
        </w:tc>
        <w:tc>
          <w:tcPr>
            <w:tcW w:type="dxa" w:w="2340"/>
          </w:tcPr>
          <w:p>
            <w:r>
              <w:t>3</w:t>
            </w:r>
          </w:p>
        </w:tc>
      </w:tr>
      <w:tr>
        <w:tc>
          <w:tcPr>
            <w:tcW w:type="dxa" w:w="2340"/>
          </w:tcPr>
          <w:p>
            <w:r>
              <w:t>registry audit only</w:t>
            </w:r>
          </w:p>
        </w:tc>
        <w:tc>
          <w:tcPr>
            <w:tcW w:type="dxa" w:w="2340"/>
          </w:tcPr>
          <w:p>
            <w:r>
              <w:t>registry_audit</w:t>
            </w:r>
          </w:p>
        </w:tc>
        <w:tc>
          <w:tcPr>
            <w:tcW w:type="dxa" w:w="2340"/>
          </w:tcPr>
          <w:p>
            <w:r>
              <w:t>no</w:t>
            </w:r>
          </w:p>
        </w:tc>
        <w:tc>
          <w:tcPr>
            <w:tcW w:type="dxa" w:w="2340"/>
          </w:tcPr>
          <w:p>
            <w:r>
              <w:t>56</w:t>
            </w:r>
          </w:p>
        </w:tc>
      </w:tr>
      <w:tr>
        <w:tc>
          <w:tcPr>
            <w:tcW w:type="dxa" w:w="2340"/>
          </w:tcPr>
          <w:p>
            <w:r>
              <w:t>regulatory sensitivity</w:t>
            </w:r>
          </w:p>
        </w:tc>
        <w:tc>
          <w:tcPr>
            <w:tcW w:type="dxa" w:w="2340"/>
          </w:tcPr>
          <w:p>
            <w:r>
              <w:t>pooled_or_manufacturer_label</w:t>
            </w:r>
          </w:p>
        </w:tc>
        <w:tc>
          <w:tcPr>
            <w:tcW w:type="dxa" w:w="2340"/>
          </w:tcPr>
          <w:p>
            <w:r>
              <w:t>no</w:t>
            </w:r>
          </w:p>
        </w:tc>
        <w:tc>
          <w:tcPr>
            <w:tcW w:type="dxa" w:w="2340"/>
          </w:tcPr>
          <w:p>
            <w:r>
              <w:t>13</w:t>
            </w:r>
          </w:p>
        </w:tc>
      </w:tr>
      <w:tr>
        <w:tc>
          <w:tcPr>
            <w:tcW w:type="dxa" w:w="2340"/>
          </w:tcPr>
          <w:p>
            <w:r>
              <w:t>regulatory sensitivity</w:t>
            </w:r>
          </w:p>
        </w:tc>
        <w:tc>
          <w:tcPr>
            <w:tcW w:type="dxa" w:w="2340"/>
          </w:tcPr>
          <w:p>
            <w:r>
              <w:t>regulatory_trial_table</w:t>
            </w:r>
          </w:p>
        </w:tc>
        <w:tc>
          <w:tcPr>
            <w:tcW w:type="dxa" w:w="2340"/>
          </w:tcPr>
          <w:p>
            <w:r>
              <w:t>no</w:t>
            </w:r>
          </w:p>
        </w:tc>
        <w:tc>
          <w:tcPr>
            <w:tcW w:type="dxa" w:w="2340"/>
          </w:tcPr>
          <w:p>
            <w:r>
              <w:t>37</w:t>
            </w:r>
          </w:p>
        </w:tc>
      </w:tr>
      <w:tr>
        <w:tc>
          <w:tcPr>
            <w:tcW w:type="dxa" w:w="2340"/>
          </w:tcPr>
          <w:p>
            <w:r>
              <w:t>selected AE sensitivity</w:t>
            </w:r>
          </w:p>
        </w:tc>
        <w:tc>
          <w:tcPr>
            <w:tcW w:type="dxa" w:w="2340"/>
          </w:tcPr>
          <w:p>
            <w:r>
              <w:t>primary_manuscript_or_appendix</w:t>
            </w:r>
          </w:p>
        </w:tc>
        <w:tc>
          <w:tcPr>
            <w:tcW w:type="dxa" w:w="2340"/>
          </w:tcPr>
          <w:p>
            <w:r>
              <w:t>no</w:t>
            </w:r>
          </w:p>
        </w:tc>
        <w:tc>
          <w:tcPr>
            <w:tcW w:type="dxa" w:w="2340"/>
          </w:tcPr>
          <w:p>
            <w:r>
              <w:t>28</w:t>
            </w:r>
          </w:p>
        </w:tc>
      </w:tr>
      <w:tr>
        <w:tc>
          <w:tcPr>
            <w:tcW w:type="dxa" w:w="2340"/>
          </w:tcPr>
          <w:p>
            <w:r>
              <w:t>strict irAE</w:t>
            </w:r>
          </w:p>
        </w:tc>
        <w:tc>
          <w:tcPr>
            <w:tcW w:type="dxa" w:w="2340"/>
          </w:tcPr>
          <w:p>
            <w:r>
              <w:t>appendix_audited_global_imAE</w:t>
            </w:r>
          </w:p>
        </w:tc>
        <w:tc>
          <w:tcPr>
            <w:tcW w:type="dxa" w:w="2340"/>
          </w:tcPr>
          <w:p>
            <w:r>
              <w:t>no</w:t>
            </w:r>
          </w:p>
        </w:tc>
        <w:tc>
          <w:tcPr>
            <w:tcW w:type="dxa" w:w="2340"/>
          </w:tcPr>
          <w:p>
            <w:r>
              <w:t>48</w:t>
            </w:r>
          </w:p>
        </w:tc>
      </w:tr>
      <w:tr>
        <w:tc>
          <w:tcPr>
            <w:tcW w:type="dxa" w:w="2340"/>
          </w:tcPr>
          <w:p>
            <w:r>
              <w:t>strict irAE</w:t>
            </w:r>
          </w:p>
        </w:tc>
        <w:tc>
          <w:tcPr>
            <w:tcW w:type="dxa" w:w="2340"/>
          </w:tcPr>
          <w:p>
            <w:r>
              <w:t>primary_manuscript_or_appendix</w:t>
            </w:r>
          </w:p>
        </w:tc>
        <w:tc>
          <w:tcPr>
            <w:tcW w:type="dxa" w:w="2340"/>
          </w:tcPr>
          <w:p>
            <w:r>
              <w:t>yes</w:t>
            </w:r>
          </w:p>
        </w:tc>
        <w:tc>
          <w:tcPr>
            <w:tcW w:type="dxa" w:w="2340"/>
          </w:tcPr>
          <w:p>
            <w:r>
              <w:t>53</w:t>
            </w:r>
          </w:p>
        </w:tc>
      </w:tr>
      <w:tr>
        <w:tc>
          <w:tcPr>
            <w:tcW w:type="dxa" w:w="2340"/>
          </w:tcPr>
          <w:p>
            <w:r>
              <w:t>subgroup/post-hoc sensitivity</w:t>
            </w:r>
          </w:p>
        </w:tc>
        <w:tc>
          <w:tcPr>
            <w:tcW w:type="dxa" w:w="2340"/>
          </w:tcPr>
          <w:p>
            <w:r>
              <w:t>subgroup_or_posthoc</w:t>
            </w:r>
          </w:p>
        </w:tc>
        <w:tc>
          <w:tcPr>
            <w:tcW w:type="dxa" w:w="2340"/>
          </w:tcPr>
          <w:p>
            <w:r>
              <w:t>no</w:t>
            </w:r>
          </w:p>
        </w:tc>
        <w:tc>
          <w:tcPr>
            <w:tcW w:type="dxa" w:w="2340"/>
          </w:tcPr>
          <w:p>
            <w:r>
              <w:t>29</w:t>
            </w:r>
          </w:p>
        </w:tc>
      </w:tr>
      <w:tr>
        <w:tc>
          <w:tcPr>
            <w:tcW w:type="dxa" w:w="2340"/>
          </w:tcPr>
          <w:p>
            <w:r>
              <w:t>treatment-related AE</w:t>
            </w:r>
          </w:p>
        </w:tc>
        <w:tc>
          <w:tcPr>
            <w:tcW w:type="dxa" w:w="2340"/>
          </w:tcPr>
          <w:p>
            <w:r>
              <w:t>trial_arm_summary</w:t>
            </w:r>
          </w:p>
        </w:tc>
        <w:tc>
          <w:tcPr>
            <w:tcW w:type="dxa" w:w="2340"/>
          </w:tcPr>
          <w:p>
            <w:r>
              <w:t>yes</w:t>
            </w:r>
          </w:p>
        </w:tc>
        <w:tc>
          <w:tcPr>
            <w:tcW w:type="dxa" w:w="2340"/>
          </w:tcPr>
          <w:p>
            <w:r>
              <w:t>18</w:t>
            </w:r>
          </w:p>
        </w:tc>
      </w:tr>
    </w:tbl>
    <w:p>
      <w:r>
        <w:rPr>
          <w:b w:val="0"/>
        </w:rPr>
      </w:r>
    </w:p>
    <w:p>
      <w:r>
        <w:rPr>
          <w:b/>
        </w:rPr>
        <w:t>Table 2. Endpoint-stratified random-effects estimates</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tcPr>
          <w:p>
            <w:r>
              <w:t>analysis</w:t>
            </w:r>
          </w:p>
        </w:tc>
        <w:tc>
          <w:tcPr>
            <w:tcW w:type="dxa" w:w="585"/>
          </w:tcPr>
          <w:p>
            <w:r>
              <w:t>status</w:t>
            </w:r>
          </w:p>
        </w:tc>
        <w:tc>
          <w:tcPr>
            <w:tcW w:type="dxa" w:w="585"/>
          </w:tcPr>
          <w:p>
            <w:r>
              <w:t>tumor_lineage</w:t>
            </w:r>
          </w:p>
        </w:tc>
        <w:tc>
          <w:tcPr>
            <w:tcW w:type="dxa" w:w="585"/>
          </w:tcPr>
          <w:p>
            <w:r>
              <w:t>k</w:t>
            </w:r>
          </w:p>
        </w:tc>
        <w:tc>
          <w:tcPr>
            <w:tcW w:type="dxa" w:w="585"/>
          </w:tcPr>
          <w:p>
            <w:r>
              <w:t>events_total</w:t>
            </w:r>
          </w:p>
        </w:tc>
        <w:tc>
          <w:tcPr>
            <w:tcW w:type="dxa" w:w="585"/>
          </w:tcPr>
          <w:p>
            <w:r>
              <w:t>n_total</w:t>
            </w:r>
          </w:p>
        </w:tc>
        <w:tc>
          <w:tcPr>
            <w:tcW w:type="dxa" w:w="585"/>
          </w:tcPr>
          <w:p>
            <w:r>
              <w:t>pooled_rate_random</w:t>
            </w:r>
          </w:p>
        </w:tc>
        <w:tc>
          <w:tcPr>
            <w:tcW w:type="dxa" w:w="585"/>
          </w:tcPr>
          <w:p>
            <w:r>
              <w:t>pooled_rate_lo</w:t>
            </w:r>
          </w:p>
        </w:tc>
        <w:tc>
          <w:tcPr>
            <w:tcW w:type="dxa" w:w="585"/>
          </w:tcPr>
          <w:p>
            <w:r>
              <w:t>pooled_rate_hi</w:t>
            </w:r>
          </w:p>
        </w:tc>
        <w:tc>
          <w:tcPr>
            <w:tcW w:type="dxa" w:w="585"/>
          </w:tcPr>
          <w:p>
            <w:r>
              <w:t>prediction_lo</w:t>
            </w:r>
          </w:p>
        </w:tc>
        <w:tc>
          <w:tcPr>
            <w:tcW w:type="dxa" w:w="585"/>
          </w:tcPr>
          <w:p>
            <w:r>
              <w:t>prediction_hi</w:t>
            </w:r>
          </w:p>
        </w:tc>
        <w:tc>
          <w:tcPr>
            <w:tcW w:type="dxa" w:w="585"/>
          </w:tcPr>
          <w:p>
            <w:r>
              <w:t>tau2_logit</w:t>
            </w:r>
          </w:p>
        </w:tc>
        <w:tc>
          <w:tcPr>
            <w:tcW w:type="dxa" w:w="585"/>
          </w:tcPr>
          <w:p>
            <w:r>
              <w:t>i2_percent</w:t>
            </w:r>
          </w:p>
        </w:tc>
        <w:tc>
          <w:tcPr>
            <w:tcW w:type="dxa" w:w="585"/>
          </w:tcPr>
          <w:p>
            <w:r>
              <w:t>q</w:t>
            </w:r>
          </w:p>
        </w:tc>
        <w:tc>
          <w:tcPr>
            <w:tcW w:type="dxa" w:w="585"/>
          </w:tcPr>
          <w:p>
            <w:r>
              <w:t>endpoint_taxonomy</w:t>
            </w:r>
          </w:p>
        </w:tc>
        <w:tc>
          <w:tcPr>
            <w:tcW w:type="dxa" w:w="585"/>
          </w:tcPr>
          <w:p>
            <w:r>
              <w:t>timing_architecture</w:t>
            </w:r>
          </w:p>
        </w:tc>
      </w:tr>
      <w:tr>
        <w:tc>
          <w:tcPr>
            <w:tcW w:type="dxa" w:w="585"/>
          </w:tcPr>
          <w:p>
            <w:r>
              <w:t>treatment_related_high_grade_by_lineage</w:t>
            </w:r>
          </w:p>
        </w:tc>
        <w:tc>
          <w:tcPr>
            <w:tcW w:type="dxa" w:w="585"/>
          </w:tcPr>
          <w:p>
            <w:r>
              <w:t>pooled</w:t>
            </w:r>
          </w:p>
        </w:tc>
        <w:tc>
          <w:tcPr>
            <w:tcW w:type="dxa" w:w="585"/>
          </w:tcPr>
          <w:p>
            <w:r>
              <w:t>lymphoma</w:t>
            </w:r>
          </w:p>
        </w:tc>
        <w:tc>
          <w:tcPr>
            <w:tcW w:type="dxa" w:w="585"/>
          </w:tcPr>
          <w:p>
            <w:r>
              <w:t>4</w:t>
            </w:r>
          </w:p>
        </w:tc>
        <w:tc>
          <w:tcPr>
            <w:tcW w:type="dxa" w:w="585"/>
          </w:tcPr>
          <w:p>
            <w:r>
              <w:t>75</w:t>
            </w:r>
          </w:p>
        </w:tc>
        <w:tc>
          <w:tcPr>
            <w:tcW w:type="dxa" w:w="585"/>
          </w:tcPr>
          <w:p>
            <w:r>
              <w:t>462</w:t>
            </w:r>
          </w:p>
        </w:tc>
        <w:tc>
          <w:tcPr>
            <w:tcW w:type="dxa" w:w="585"/>
          </w:tcPr>
          <w:p>
            <w:r>
              <w:t>19.093929900919107</w:t>
            </w:r>
          </w:p>
        </w:tc>
        <w:tc>
          <w:tcPr>
            <w:tcW w:type="dxa" w:w="585"/>
          </w:tcPr>
          <w:p>
            <w:r>
              <w:t>6.051603123130772</w:t>
            </w:r>
          </w:p>
        </w:tc>
        <w:tc>
          <w:tcPr>
            <w:tcW w:type="dxa" w:w="585"/>
          </w:tcPr>
          <w:p>
            <w:r>
              <w:t>46.371034783972256</w:t>
            </w:r>
          </w:p>
        </w:tc>
        <w:tc>
          <w:tcPr>
            <w:tcW w:type="dxa" w:w="585"/>
          </w:tcPr>
          <w:p>
            <w:r>
              <w:t>1.3605103229087523</w:t>
            </w:r>
          </w:p>
        </w:tc>
        <w:tc>
          <w:tcPr>
            <w:tcW w:type="dxa" w:w="585"/>
          </w:tcPr>
          <w:p>
            <w:r>
              <w:t>80.15125996671986</w:t>
            </w:r>
          </w:p>
        </w:tc>
        <w:tc>
          <w:tcPr>
            <w:tcW w:type="dxa" w:w="585"/>
          </w:tcPr>
          <w:p>
            <w:r>
              <w:t>1.6602406344703289</w:t>
            </w:r>
          </w:p>
        </w:tc>
        <w:tc>
          <w:tcPr>
            <w:tcW w:type="dxa" w:w="585"/>
          </w:tcPr>
          <w:p>
            <w:r>
              <w:t>95.20590310567576</w:t>
            </w:r>
          </w:p>
        </w:tc>
        <w:tc>
          <w:tcPr>
            <w:tcW w:type="dxa" w:w="585"/>
          </w:tcPr>
          <w:p>
            <w:r>
              <w:t>62.57695799915352</w:t>
            </w:r>
          </w:p>
        </w:tc>
        <w:tc>
          <w:tcPr>
            <w:tcW w:type="dxa" w:w="585"/>
          </w:tcPr>
          <w:p>
            <w:r/>
          </w:p>
        </w:tc>
        <w:tc>
          <w:tcPr>
            <w:tcW w:type="dxa" w:w="585"/>
          </w:tcPr>
          <w:p>
            <w:r/>
          </w:p>
        </w:tc>
      </w:tr>
      <w:tr>
        <w:tc>
          <w:tcPr>
            <w:tcW w:type="dxa" w:w="585"/>
          </w:tcPr>
          <w:p>
            <w:r>
              <w:t>treatment_related_high_grade_by_lineage</w:t>
            </w:r>
          </w:p>
        </w:tc>
        <w:tc>
          <w:tcPr>
            <w:tcW w:type="dxa" w:w="585"/>
          </w:tcPr>
          <w:p>
            <w:r>
              <w:t>pooled</w:t>
            </w:r>
          </w:p>
        </w:tc>
        <w:tc>
          <w:tcPr>
            <w:tcW w:type="dxa" w:w="585"/>
          </w:tcPr>
          <w:p>
            <w:r>
              <w:t>solid</w:t>
            </w:r>
          </w:p>
        </w:tc>
        <w:tc>
          <w:tcPr>
            <w:tcW w:type="dxa" w:w="585"/>
          </w:tcPr>
          <w:p>
            <w:r>
              <w:t>14</w:t>
            </w:r>
          </w:p>
        </w:tc>
        <w:tc>
          <w:tcPr>
            <w:tcW w:type="dxa" w:w="585"/>
          </w:tcPr>
          <w:p>
            <w:r>
              <w:t>2237</w:t>
            </w:r>
          </w:p>
        </w:tc>
        <w:tc>
          <w:tcPr>
            <w:tcW w:type="dxa" w:w="585"/>
          </w:tcPr>
          <w:p>
            <w:r>
              <w:t>5130</w:t>
            </w:r>
          </w:p>
        </w:tc>
        <w:tc>
          <w:tcPr>
            <w:tcW w:type="dxa" w:w="585"/>
          </w:tcPr>
          <w:p>
            <w:r>
              <w:t>31.08477348554629</w:t>
            </w:r>
          </w:p>
        </w:tc>
        <w:tc>
          <w:tcPr>
            <w:tcW w:type="dxa" w:w="585"/>
          </w:tcPr>
          <w:p>
            <w:r>
              <w:t>20.191881139760856</w:t>
            </w:r>
          </w:p>
        </w:tc>
        <w:tc>
          <w:tcPr>
            <w:tcW w:type="dxa" w:w="585"/>
          </w:tcPr>
          <w:p>
            <w:r>
              <w:t>44.572137537137266</w:t>
            </w:r>
          </w:p>
        </w:tc>
        <w:tc>
          <w:tcPr>
            <w:tcW w:type="dxa" w:w="585"/>
          </w:tcPr>
          <w:p>
            <w:r>
              <w:t>4.6871204936442075</w:t>
            </w:r>
          </w:p>
        </w:tc>
        <w:tc>
          <w:tcPr>
            <w:tcW w:type="dxa" w:w="585"/>
          </w:tcPr>
          <w:p>
            <w:r>
              <w:t>80.5342872878986</w:t>
            </w:r>
          </w:p>
        </w:tc>
        <w:tc>
          <w:tcPr>
            <w:tcW w:type="dxa" w:w="585"/>
          </w:tcPr>
          <w:p>
            <w:r>
              <w:t>1.1915234698646568</w:t>
            </w:r>
          </w:p>
        </w:tc>
        <w:tc>
          <w:tcPr>
            <w:tcW w:type="dxa" w:w="585"/>
          </w:tcPr>
          <w:p>
            <w:r>
              <w:t>98.72797544998294</w:t>
            </w:r>
          </w:p>
        </w:tc>
        <w:tc>
          <w:tcPr>
            <w:tcW w:type="dxa" w:w="585"/>
          </w:tcPr>
          <w:p>
            <w:r>
              <w:t>1021.992853819174</w:t>
            </w:r>
          </w:p>
        </w:tc>
        <w:tc>
          <w:tcPr>
            <w:tcW w:type="dxa" w:w="585"/>
          </w:tcPr>
          <w:p>
            <w:r/>
          </w:p>
        </w:tc>
        <w:tc>
          <w:tcPr>
            <w:tcW w:type="dxa" w:w="585"/>
          </w:tcPr>
          <w:p>
            <w:r/>
          </w:p>
        </w:tc>
      </w:tr>
      <w:tr>
        <w:tc>
          <w:tcPr>
            <w:tcW w:type="dxa" w:w="585"/>
          </w:tcPr>
          <w:p>
            <w:r>
              <w:t>high_grade_by_endpoint_taxonomy_and_lineage</w:t>
            </w:r>
          </w:p>
        </w:tc>
        <w:tc>
          <w:tcPr>
            <w:tcW w:type="dxa" w:w="585"/>
          </w:tcPr>
          <w:p>
            <w:r>
              <w:t>pooled</w:t>
            </w:r>
          </w:p>
        </w:tc>
        <w:tc>
          <w:tcPr>
            <w:tcW w:type="dxa" w:w="585"/>
          </w:tcPr>
          <w:p>
            <w:r>
              <w:t>solid</w:t>
            </w:r>
          </w:p>
        </w:tc>
        <w:tc>
          <w:tcPr>
            <w:tcW w:type="dxa" w:w="585"/>
          </w:tcPr>
          <w:p>
            <w:r>
              <w:t>8</w:t>
            </w:r>
          </w:p>
        </w:tc>
        <w:tc>
          <w:tcPr>
            <w:tcW w:type="dxa" w:w="585"/>
          </w:tcPr>
          <w:p>
            <w:r>
              <w:t>1804</w:t>
            </w:r>
          </w:p>
        </w:tc>
        <w:tc>
          <w:tcPr>
            <w:tcW w:type="dxa" w:w="585"/>
          </w:tcPr>
          <w:p>
            <w:r>
              <w:t>3162</w:t>
            </w:r>
          </w:p>
        </w:tc>
        <w:tc>
          <w:tcPr>
            <w:tcW w:type="dxa" w:w="585"/>
          </w:tcPr>
          <w:p>
            <w:r>
              <w:t>60.1619893943894</w:t>
            </w:r>
          </w:p>
        </w:tc>
        <w:tc>
          <w:tcPr>
            <w:tcW w:type="dxa" w:w="585"/>
          </w:tcPr>
          <w:p>
            <w:r>
              <w:t>44.40345696995895</w:t>
            </w:r>
          </w:p>
        </w:tc>
        <w:tc>
          <w:tcPr>
            <w:tcW w:type="dxa" w:w="585"/>
          </w:tcPr>
          <w:p>
            <w:r>
              <w:t>74.062935399142</w:t>
            </w:r>
          </w:p>
        </w:tc>
        <w:tc>
          <w:tcPr>
            <w:tcW w:type="dxa" w:w="585"/>
          </w:tcPr>
          <w:p>
            <w:r>
              <w:t>18.464700290749605</w:t>
            </w:r>
          </w:p>
        </w:tc>
        <w:tc>
          <w:tcPr>
            <w:tcW w:type="dxa" w:w="585"/>
          </w:tcPr>
          <w:p>
            <w:r>
              <w:t>90.96701208552584</w:t>
            </w:r>
          </w:p>
        </w:tc>
        <w:tc>
          <w:tcPr>
            <w:tcW w:type="dxa" w:w="585"/>
          </w:tcPr>
          <w:p>
            <w:r>
              <w:t>0.831535035477374</w:t>
            </w:r>
          </w:p>
        </w:tc>
        <w:tc>
          <w:tcPr>
            <w:tcW w:type="dxa" w:w="585"/>
          </w:tcPr>
          <w:p>
            <w:r>
              <w:t>98.51447143671436</w:t>
            </w:r>
          </w:p>
        </w:tc>
        <w:tc>
          <w:tcPr>
            <w:tcW w:type="dxa" w:w="585"/>
          </w:tcPr>
          <w:p>
            <w:r>
              <w:t>471.2127503302704</w:t>
            </w:r>
          </w:p>
        </w:tc>
        <w:tc>
          <w:tcPr>
            <w:tcW w:type="dxa" w:w="585"/>
          </w:tcPr>
          <w:p>
            <w:r>
              <w:t>context only</w:t>
            </w:r>
          </w:p>
        </w:tc>
        <w:tc>
          <w:tcPr>
            <w:tcW w:type="dxa" w:w="585"/>
          </w:tcPr>
          <w:p>
            <w:r/>
          </w:p>
        </w:tc>
      </w:tr>
      <w:tr>
        <w:tc>
          <w:tcPr>
            <w:tcW w:type="dxa" w:w="585"/>
          </w:tcPr>
          <w:p>
            <w:r>
              <w:t>high_grade_by_endpoint_taxonomy_and_lineage</w:t>
            </w:r>
          </w:p>
        </w:tc>
        <w:tc>
          <w:tcPr>
            <w:tcW w:type="dxa" w:w="585"/>
          </w:tcPr>
          <w:p>
            <w:r>
              <w:t>pooled</w:t>
            </w:r>
          </w:p>
        </w:tc>
        <w:tc>
          <w:tcPr>
            <w:tcW w:type="dxa" w:w="585"/>
          </w:tcPr>
          <w:p>
            <w:r>
              <w:t>lymphoma</w:t>
            </w:r>
          </w:p>
        </w:tc>
        <w:tc>
          <w:tcPr>
            <w:tcW w:type="dxa" w:w="585"/>
          </w:tcPr>
          <w:p>
            <w:r>
              <w:t>3</w:t>
            </w:r>
          </w:p>
        </w:tc>
        <w:tc>
          <w:tcPr>
            <w:tcW w:type="dxa" w:w="585"/>
          </w:tcPr>
          <w:p>
            <w:r>
              <w:t>9</w:t>
            </w:r>
          </w:p>
        </w:tc>
        <w:tc>
          <w:tcPr>
            <w:tcW w:type="dxa" w:w="585"/>
          </w:tcPr>
          <w:p>
            <w:r>
              <w:t>112</w:t>
            </w:r>
          </w:p>
        </w:tc>
        <w:tc>
          <w:tcPr>
            <w:tcW w:type="dxa" w:w="585"/>
          </w:tcPr>
          <w:p>
            <w:r>
              <w:t>9.141341037282864</w:t>
            </w:r>
          </w:p>
        </w:tc>
        <w:tc>
          <w:tcPr>
            <w:tcW w:type="dxa" w:w="585"/>
          </w:tcPr>
          <w:p>
            <w:r>
              <w:t>3.8939501171278623</w:t>
            </w:r>
          </w:p>
        </w:tc>
        <w:tc>
          <w:tcPr>
            <w:tcW w:type="dxa" w:w="585"/>
          </w:tcPr>
          <w:p>
            <w:r>
              <w:t>19.989226557907063</w:t>
            </w:r>
          </w:p>
        </w:tc>
        <w:tc>
          <w:tcPr>
            <w:tcW w:type="dxa" w:w="585"/>
          </w:tcPr>
          <w:p>
            <w:r>
              <w:t>2.4903896764086193</w:t>
            </w:r>
          </w:p>
        </w:tc>
        <w:tc>
          <w:tcPr>
            <w:tcW w:type="dxa" w:w="585"/>
          </w:tcPr>
          <w:p>
            <w:r>
              <w:t>28.384175704556977</w:t>
            </w:r>
          </w:p>
        </w:tc>
        <w:tc>
          <w:tcPr>
            <w:tcW w:type="dxa" w:w="585"/>
          </w:tcPr>
          <w:p>
            <w:r>
              <w:t>0.2739671577019781</w:t>
            </w:r>
          </w:p>
        </w:tc>
        <w:tc>
          <w:tcPr>
            <w:tcW w:type="dxa" w:w="585"/>
          </w:tcPr>
          <w:p>
            <w:r>
              <w:t>41.575914632689475</w:t>
            </w:r>
          </w:p>
        </w:tc>
        <w:tc>
          <w:tcPr>
            <w:tcW w:type="dxa" w:w="585"/>
          </w:tcPr>
          <w:p>
            <w:r>
              <w:t>3.4232457169437196</w:t>
            </w:r>
          </w:p>
        </w:tc>
        <w:tc>
          <w:tcPr>
            <w:tcW w:type="dxa" w:w="585"/>
          </w:tcPr>
          <w:p>
            <w:r>
              <w:t>immune-mediated AE/imAE</w:t>
            </w:r>
          </w:p>
        </w:tc>
        <w:tc>
          <w:tcPr>
            <w:tcW w:type="dxa" w:w="585"/>
          </w:tcPr>
          <w:p>
            <w:r/>
          </w:p>
        </w:tc>
      </w:tr>
      <w:tr>
        <w:tc>
          <w:tcPr>
            <w:tcW w:type="dxa" w:w="585"/>
          </w:tcPr>
          <w:p>
            <w:r>
              <w:t>high_grade_by_endpoint_taxonomy_and_lineage</w:t>
            </w:r>
          </w:p>
        </w:tc>
        <w:tc>
          <w:tcPr>
            <w:tcW w:type="dxa" w:w="585"/>
          </w:tcPr>
          <w:p>
            <w:r>
              <w:t>pooled</w:t>
            </w:r>
          </w:p>
        </w:tc>
        <w:tc>
          <w:tcPr>
            <w:tcW w:type="dxa" w:w="585"/>
          </w:tcPr>
          <w:p>
            <w:r>
              <w:t>lymphoma</w:t>
            </w:r>
          </w:p>
        </w:tc>
        <w:tc>
          <w:tcPr>
            <w:tcW w:type="dxa" w:w="585"/>
          </w:tcPr>
          <w:p>
            <w:r>
              <w:t>4</w:t>
            </w:r>
          </w:p>
        </w:tc>
        <w:tc>
          <w:tcPr>
            <w:tcW w:type="dxa" w:w="585"/>
          </w:tcPr>
          <w:p>
            <w:r>
              <w:t>75</w:t>
            </w:r>
          </w:p>
        </w:tc>
        <w:tc>
          <w:tcPr>
            <w:tcW w:type="dxa" w:w="585"/>
          </w:tcPr>
          <w:p>
            <w:r>
              <w:t>462</w:t>
            </w:r>
          </w:p>
        </w:tc>
        <w:tc>
          <w:tcPr>
            <w:tcW w:type="dxa" w:w="585"/>
          </w:tcPr>
          <w:p>
            <w:r>
              <w:t>19.093929900919107</w:t>
            </w:r>
          </w:p>
        </w:tc>
        <w:tc>
          <w:tcPr>
            <w:tcW w:type="dxa" w:w="585"/>
          </w:tcPr>
          <w:p>
            <w:r>
              <w:t>6.051603123130772</w:t>
            </w:r>
          </w:p>
        </w:tc>
        <w:tc>
          <w:tcPr>
            <w:tcW w:type="dxa" w:w="585"/>
          </w:tcPr>
          <w:p>
            <w:r>
              <w:t>46.371034783972256</w:t>
            </w:r>
          </w:p>
        </w:tc>
        <w:tc>
          <w:tcPr>
            <w:tcW w:type="dxa" w:w="585"/>
          </w:tcPr>
          <w:p>
            <w:r>
              <w:t>1.3605103229087523</w:t>
            </w:r>
          </w:p>
        </w:tc>
        <w:tc>
          <w:tcPr>
            <w:tcW w:type="dxa" w:w="585"/>
          </w:tcPr>
          <w:p>
            <w:r>
              <w:t>80.15125996671986</w:t>
            </w:r>
          </w:p>
        </w:tc>
        <w:tc>
          <w:tcPr>
            <w:tcW w:type="dxa" w:w="585"/>
          </w:tcPr>
          <w:p>
            <w:r>
              <w:t>1.6602406344703289</w:t>
            </w:r>
          </w:p>
        </w:tc>
        <w:tc>
          <w:tcPr>
            <w:tcW w:type="dxa" w:w="585"/>
          </w:tcPr>
          <w:p>
            <w:r>
              <w:t>95.20590310567576</w:t>
            </w:r>
          </w:p>
        </w:tc>
        <w:tc>
          <w:tcPr>
            <w:tcW w:type="dxa" w:w="585"/>
          </w:tcPr>
          <w:p>
            <w:r>
              <w:t>62.57695799915352</w:t>
            </w:r>
          </w:p>
        </w:tc>
        <w:tc>
          <w:tcPr>
            <w:tcW w:type="dxa" w:w="585"/>
          </w:tcPr>
          <w:p>
            <w:r>
              <w:t>treatment-related AE</w:t>
            </w:r>
          </w:p>
        </w:tc>
        <w:tc>
          <w:tcPr>
            <w:tcW w:type="dxa" w:w="585"/>
          </w:tcPr>
          <w:p>
            <w:r/>
          </w:p>
        </w:tc>
      </w:tr>
      <w:tr>
        <w:tc>
          <w:tcPr>
            <w:tcW w:type="dxa" w:w="585"/>
          </w:tcPr>
          <w:p>
            <w:r>
              <w:t>high_grade_by_endpoint_taxonomy_and_lineage</w:t>
            </w:r>
          </w:p>
        </w:tc>
        <w:tc>
          <w:tcPr>
            <w:tcW w:type="dxa" w:w="585"/>
          </w:tcPr>
          <w:p>
            <w:r>
              <w:t>pooled</w:t>
            </w:r>
          </w:p>
        </w:tc>
        <w:tc>
          <w:tcPr>
            <w:tcW w:type="dxa" w:w="585"/>
          </w:tcPr>
          <w:p>
            <w:r>
              <w:t>solid</w:t>
            </w:r>
          </w:p>
        </w:tc>
        <w:tc>
          <w:tcPr>
            <w:tcW w:type="dxa" w:w="585"/>
          </w:tcPr>
          <w:p>
            <w:r>
              <w:t>14</w:t>
            </w:r>
          </w:p>
        </w:tc>
        <w:tc>
          <w:tcPr>
            <w:tcW w:type="dxa" w:w="585"/>
          </w:tcPr>
          <w:p>
            <w:r>
              <w:t>2237</w:t>
            </w:r>
          </w:p>
        </w:tc>
        <w:tc>
          <w:tcPr>
            <w:tcW w:type="dxa" w:w="585"/>
          </w:tcPr>
          <w:p>
            <w:r>
              <w:t>5130</w:t>
            </w:r>
          </w:p>
        </w:tc>
        <w:tc>
          <w:tcPr>
            <w:tcW w:type="dxa" w:w="585"/>
          </w:tcPr>
          <w:p>
            <w:r>
              <w:t>31.08477348554629</w:t>
            </w:r>
          </w:p>
        </w:tc>
        <w:tc>
          <w:tcPr>
            <w:tcW w:type="dxa" w:w="585"/>
          </w:tcPr>
          <w:p>
            <w:r>
              <w:t>20.191881139760856</w:t>
            </w:r>
          </w:p>
        </w:tc>
        <w:tc>
          <w:tcPr>
            <w:tcW w:type="dxa" w:w="585"/>
          </w:tcPr>
          <w:p>
            <w:r>
              <w:t>44.572137537137266</w:t>
            </w:r>
          </w:p>
        </w:tc>
        <w:tc>
          <w:tcPr>
            <w:tcW w:type="dxa" w:w="585"/>
          </w:tcPr>
          <w:p>
            <w:r>
              <w:t>4.6871204936442075</w:t>
            </w:r>
          </w:p>
        </w:tc>
        <w:tc>
          <w:tcPr>
            <w:tcW w:type="dxa" w:w="585"/>
          </w:tcPr>
          <w:p>
            <w:r>
              <w:t>80.5342872878986</w:t>
            </w:r>
          </w:p>
        </w:tc>
        <w:tc>
          <w:tcPr>
            <w:tcW w:type="dxa" w:w="585"/>
          </w:tcPr>
          <w:p>
            <w:r>
              <w:t>1.1915234698646568</w:t>
            </w:r>
          </w:p>
        </w:tc>
        <w:tc>
          <w:tcPr>
            <w:tcW w:type="dxa" w:w="585"/>
          </w:tcPr>
          <w:p>
            <w:r>
              <w:t>98.72797544998294</w:t>
            </w:r>
          </w:p>
        </w:tc>
        <w:tc>
          <w:tcPr>
            <w:tcW w:type="dxa" w:w="585"/>
          </w:tcPr>
          <w:p>
            <w:r>
              <w:t>1021.992853819174</w:t>
            </w:r>
          </w:p>
        </w:tc>
        <w:tc>
          <w:tcPr>
            <w:tcW w:type="dxa" w:w="585"/>
          </w:tcPr>
          <w:p>
            <w:r>
              <w:t>treatment-related AE</w:t>
            </w:r>
          </w:p>
        </w:tc>
        <w:tc>
          <w:tcPr>
            <w:tcW w:type="dxa" w:w="585"/>
          </w:tcPr>
          <w:p>
            <w:r/>
          </w:p>
        </w:tc>
      </w:tr>
      <w:tr>
        <w:tc>
          <w:tcPr>
            <w:tcW w:type="dxa" w:w="585"/>
          </w:tcPr>
          <w:p>
            <w:r>
              <w:t>treatment_related_high_grade_by_timing_architecture</w:t>
            </w:r>
          </w:p>
        </w:tc>
        <w:tc>
          <w:tcPr>
            <w:tcW w:type="dxa" w:w="585"/>
          </w:tcPr>
          <w:p>
            <w:r>
              <w:t>not pooled: k&lt;2</w:t>
            </w:r>
          </w:p>
        </w:tc>
        <w:tc>
          <w:tcPr>
            <w:tcW w:type="dxa" w:w="585"/>
          </w:tcPr>
          <w:p>
            <w:r/>
          </w:p>
        </w:tc>
        <w:tc>
          <w:tcPr>
            <w:tcW w:type="dxa" w:w="585"/>
          </w:tcPr>
          <w:p>
            <w:r>
              <w:t>1</w:t>
            </w:r>
          </w:p>
        </w:tc>
        <w:tc>
          <w:tcPr>
            <w:tcW w:type="dxa" w:w="585"/>
          </w:tcPr>
          <w:p>
            <w:r>
              <w:t>30</w:t>
            </w:r>
          </w:p>
        </w:tc>
        <w:tc>
          <w:tcPr>
            <w:tcW w:type="dxa" w:w="585"/>
          </w:tcPr>
          <w:p>
            <w:r>
              <w:t>51</w:t>
            </w:r>
          </w:p>
        </w:tc>
        <w:tc>
          <w:tcPr>
            <w:tcW w:type="dxa" w:w="585"/>
          </w:tcPr>
          <w:p>
            <w:r/>
          </w:p>
        </w:tc>
        <w:tc>
          <w:tcPr>
            <w:tcW w:type="dxa" w:w="585"/>
          </w:tcPr>
          <w:p>
            <w:r/>
          </w:p>
        </w:tc>
        <w:tc>
          <w:tcPr>
            <w:tcW w:type="dxa" w:w="585"/>
          </w:tcPr>
          <w:p>
            <w:r/>
          </w:p>
        </w:tc>
        <w:tc>
          <w:tcPr>
            <w:tcW w:type="dxa" w:w="585"/>
          </w:tcPr>
          <w:p>
            <w:r/>
          </w:p>
        </w:tc>
        <w:tc>
          <w:tcPr>
            <w:tcW w:type="dxa" w:w="585"/>
          </w:tcPr>
          <w:p>
            <w:r/>
          </w:p>
        </w:tc>
        <w:tc>
          <w:tcPr>
            <w:tcW w:type="dxa" w:w="585"/>
          </w:tcPr>
          <w:p>
            <w:r/>
          </w:p>
        </w:tc>
        <w:tc>
          <w:tcPr>
            <w:tcW w:type="dxa" w:w="585"/>
          </w:tcPr>
          <w:p>
            <w:r/>
          </w:p>
        </w:tc>
        <w:tc>
          <w:tcPr>
            <w:tcW w:type="dxa" w:w="585"/>
          </w:tcPr>
          <w:p>
            <w:r/>
          </w:p>
        </w:tc>
        <w:tc>
          <w:tcPr>
            <w:tcW w:type="dxa" w:w="585"/>
          </w:tcPr>
          <w:p>
            <w:r/>
          </w:p>
        </w:tc>
        <w:tc>
          <w:tcPr>
            <w:tcW w:type="dxa" w:w="585"/>
          </w:tcPr>
          <w:p>
            <w:r>
              <w:t>ICI_before_chemo</w:t>
            </w:r>
          </w:p>
        </w:tc>
      </w:tr>
      <w:tr>
        <w:tc>
          <w:tcPr>
            <w:tcW w:type="dxa" w:w="585"/>
          </w:tcPr>
          <w:p>
            <w:r>
              <w:t>treatment_related_high_grade_by_timing_architecture</w:t>
            </w:r>
          </w:p>
        </w:tc>
        <w:tc>
          <w:tcPr>
            <w:tcW w:type="dxa" w:w="585"/>
          </w:tcPr>
          <w:p>
            <w:r>
              <w:t>pooled</w:t>
            </w:r>
          </w:p>
        </w:tc>
        <w:tc>
          <w:tcPr>
            <w:tcW w:type="dxa" w:w="585"/>
          </w:tcPr>
          <w:p>
            <w:r/>
          </w:p>
        </w:tc>
        <w:tc>
          <w:tcPr>
            <w:tcW w:type="dxa" w:w="585"/>
          </w:tcPr>
          <w:p>
            <w:r>
              <w:t>5</w:t>
            </w:r>
          </w:p>
        </w:tc>
        <w:tc>
          <w:tcPr>
            <w:tcW w:type="dxa" w:w="585"/>
          </w:tcPr>
          <w:p>
            <w:r>
              <w:t>1568</w:t>
            </w:r>
          </w:p>
        </w:tc>
        <w:tc>
          <w:tcPr>
            <w:tcW w:type="dxa" w:w="585"/>
          </w:tcPr>
          <w:p>
            <w:r>
              <w:t>2473</w:t>
            </w:r>
          </w:p>
        </w:tc>
        <w:tc>
          <w:tcPr>
            <w:tcW w:type="dxa" w:w="585"/>
          </w:tcPr>
          <w:p>
            <w:r>
              <w:t>58.919722170973365</w:t>
            </w:r>
          </w:p>
        </w:tc>
        <w:tc>
          <w:tcPr>
            <w:tcW w:type="dxa" w:w="585"/>
          </w:tcPr>
          <w:p>
            <w:r>
              <w:t>44.00988222175543</w:t>
            </w:r>
          </w:p>
        </w:tc>
        <w:tc>
          <w:tcPr>
            <w:tcW w:type="dxa" w:w="585"/>
          </w:tcPr>
          <w:p>
            <w:r>
              <w:t>72.35333533759291</w:t>
            </w:r>
          </w:p>
        </w:tc>
        <w:tc>
          <w:tcPr>
            <w:tcW w:type="dxa" w:w="585"/>
          </w:tcPr>
          <w:p>
            <w:r>
              <w:t>25.044119697002248</w:t>
            </w:r>
          </w:p>
        </w:tc>
        <w:tc>
          <w:tcPr>
            <w:tcW w:type="dxa" w:w="585"/>
          </w:tcPr>
          <w:p>
            <w:r>
              <w:t>86.02726171222471</w:t>
            </w:r>
          </w:p>
        </w:tc>
        <w:tc>
          <w:tcPr>
            <w:tcW w:type="dxa" w:w="585"/>
          </w:tcPr>
          <w:p>
            <w:r>
              <w:t>0.4583908242459305</w:t>
            </w:r>
          </w:p>
        </w:tc>
        <w:tc>
          <w:tcPr>
            <w:tcW w:type="dxa" w:w="585"/>
          </w:tcPr>
          <w:p>
            <w:r>
              <w:t>97.85297570791724</w:t>
            </w:r>
          </w:p>
        </w:tc>
        <w:tc>
          <w:tcPr>
            <w:tcW w:type="dxa" w:w="585"/>
          </w:tcPr>
          <w:p>
            <w:r>
              <w:t>186.3043662221327</w:t>
            </w:r>
          </w:p>
        </w:tc>
        <w:tc>
          <w:tcPr>
            <w:tcW w:type="dxa" w:w="585"/>
          </w:tcPr>
          <w:p>
            <w:r/>
          </w:p>
        </w:tc>
        <w:tc>
          <w:tcPr>
            <w:tcW w:type="dxa" w:w="585"/>
          </w:tcPr>
          <w:p>
            <w:r>
              <w:t>concurrent_chemo</w:t>
            </w:r>
          </w:p>
        </w:tc>
      </w:tr>
      <w:tr>
        <w:tc>
          <w:tcPr>
            <w:tcW w:type="dxa" w:w="585"/>
          </w:tcPr>
          <w:p>
            <w:r>
              <w:t>treatment_related_high_grade_by_timing_architecture</w:t>
            </w:r>
          </w:p>
        </w:tc>
        <w:tc>
          <w:tcPr>
            <w:tcW w:type="dxa" w:w="585"/>
          </w:tcPr>
          <w:p>
            <w:r>
              <w:t>pooled</w:t>
            </w:r>
          </w:p>
        </w:tc>
        <w:tc>
          <w:tcPr>
            <w:tcW w:type="dxa" w:w="585"/>
          </w:tcPr>
          <w:p>
            <w:r/>
          </w:p>
        </w:tc>
        <w:tc>
          <w:tcPr>
            <w:tcW w:type="dxa" w:w="585"/>
          </w:tcPr>
          <w:p>
            <w:r>
              <w:t>12</w:t>
            </w:r>
          </w:p>
        </w:tc>
        <w:tc>
          <w:tcPr>
            <w:tcW w:type="dxa" w:w="585"/>
          </w:tcPr>
          <w:p>
            <w:r>
              <w:t>714</w:t>
            </w:r>
          </w:p>
        </w:tc>
        <w:tc>
          <w:tcPr>
            <w:tcW w:type="dxa" w:w="585"/>
          </w:tcPr>
          <w:p>
            <w:r>
              <w:t>3068</w:t>
            </w:r>
          </w:p>
        </w:tc>
        <w:tc>
          <w:tcPr>
            <w:tcW w:type="dxa" w:w="585"/>
          </w:tcPr>
          <w:p>
            <w:r>
              <w:t>16.954359501225397</w:t>
            </w:r>
          </w:p>
        </w:tc>
        <w:tc>
          <w:tcPr>
            <w:tcW w:type="dxa" w:w="585"/>
          </w:tcPr>
          <w:p>
            <w:r>
              <w:t>10.181825292846666</w:t>
            </w:r>
          </w:p>
        </w:tc>
        <w:tc>
          <w:tcPr>
            <w:tcW w:type="dxa" w:w="585"/>
          </w:tcPr>
          <w:p>
            <w:r>
              <w:t>26.883376271763023</w:t>
            </w:r>
          </w:p>
        </w:tc>
        <w:tc>
          <w:tcPr>
            <w:tcW w:type="dxa" w:w="585"/>
          </w:tcPr>
          <w:p>
            <w:r>
              <w:t>2.4992129055772447</w:t>
            </w:r>
          </w:p>
        </w:tc>
        <w:tc>
          <w:tcPr>
            <w:tcW w:type="dxa" w:w="585"/>
          </w:tcPr>
          <w:p>
            <w:r>
              <w:t>61.91999762786084</w:t>
            </w:r>
          </w:p>
        </w:tc>
        <w:tc>
          <w:tcPr>
            <w:tcW w:type="dxa" w:w="585"/>
          </w:tcPr>
          <w:p>
            <w:r>
              <w:t>1.030750921011383</w:t>
            </w:r>
          </w:p>
        </w:tc>
        <w:tc>
          <w:tcPr>
            <w:tcW w:type="dxa" w:w="585"/>
          </w:tcPr>
          <w:p>
            <w:r>
              <w:t>97.36190410007248</w:t>
            </w:r>
          </w:p>
        </w:tc>
        <w:tc>
          <w:tcPr>
            <w:tcW w:type="dxa" w:w="585"/>
          </w:tcPr>
          <w:p>
            <w:r>
              <w:t>416.9674044185523</w:t>
            </w:r>
          </w:p>
        </w:tc>
        <w:tc>
          <w:tcPr>
            <w:tcW w:type="dxa" w:w="585"/>
          </w:tcPr>
          <w:p>
            <w:r/>
          </w:p>
        </w:tc>
        <w:tc>
          <w:tcPr>
            <w:tcW w:type="dxa" w:w="585"/>
          </w:tcPr>
          <w:p>
            <w:r>
              <w:t>no_chemo_context</w:t>
            </w:r>
          </w:p>
        </w:tc>
      </w:tr>
    </w:tbl>
    <w:p>
      <w:r>
        <w:rPr>
          <w:b w:val="0"/>
        </w:rPr>
      </w:r>
    </w:p>
    <w:p>
      <w:r>
        <w:rPr>
          <w:b/>
        </w:rPr>
        <w:t>Table 3. Claim gate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claim_text</w:t>
            </w:r>
          </w:p>
        </w:tc>
        <w:tc>
          <w:tcPr>
            <w:tcW w:type="dxa" w:w="2340"/>
          </w:tcPr>
          <w:p>
            <w:r>
              <w:t>evidence_grade</w:t>
            </w:r>
          </w:p>
        </w:tc>
        <w:tc>
          <w:tcPr>
            <w:tcW w:type="dxa" w:w="2340"/>
          </w:tcPr>
          <w:p>
            <w:r>
              <w:t>allowed_manuscript_wording</w:t>
            </w:r>
          </w:p>
        </w:tc>
        <w:tc>
          <w:tcPr>
            <w:tcW w:type="dxa" w:w="2340"/>
          </w:tcPr>
          <w:p>
            <w:r>
              <w:t>confidence_level</w:t>
            </w:r>
          </w:p>
        </w:tc>
      </w:tr>
      <w:tr>
        <w:tc>
          <w:tcPr>
            <w:tcW w:type="dxa" w:w="2340"/>
          </w:tcPr>
          <w:p>
            <w:r>
              <w:t>Endpoint heterogeneity prevents a single all-row ICI toxicity incidence estimate.</w:t>
            </w:r>
          </w:p>
        </w:tc>
        <w:tc>
          <w:tcPr>
            <w:tcW w:type="dxa" w:w="2340"/>
          </w:tcPr>
          <w:p>
            <w:r>
              <w:t>Supported for primary inference</w:t>
            </w:r>
          </w:p>
        </w:tc>
        <w:tc>
          <w:tcPr>
            <w:tcW w:type="dxa" w:w="2340"/>
          </w:tcPr>
          <w:p>
            <w:r>
              <w:t>Cross-tumor comparisons should be endpoint-stratified and claim-gated.</w:t>
            </w:r>
          </w:p>
        </w:tc>
        <w:tc>
          <w:tcPr>
            <w:tcW w:type="dxa" w:w="2340"/>
          </w:tcPr>
          <w:p>
            <w:r>
              <w:t>high for source-layer conclusion</w:t>
            </w:r>
          </w:p>
        </w:tc>
      </w:tr>
      <w:tr>
        <w:tc>
          <w:tcPr>
            <w:tcW w:type="dxa" w:w="2340"/>
          </w:tcPr>
          <w:p>
            <w:r>
              <w:t>Treatment-related high-grade toxicity differs at arm level between current lymphoma and solid-tumor trial-arm strata.</w:t>
            </w:r>
          </w:p>
        </w:tc>
        <w:tc>
          <w:tcPr>
            <w:tcW w:type="dxa" w:w="2340"/>
          </w:tcPr>
          <w:p>
            <w:r>
              <w:t>Supported for sensitivity analysis only</w:t>
            </w:r>
          </w:p>
        </w:tc>
        <w:tc>
          <w:tcPr>
            <w:tcW w:type="dxa" w:w="2340"/>
          </w:tcPr>
          <w:p>
            <w:r>
              <w:t>A difference is visible in endpoint-compatible treatment-related high-grade arm summaries, but it is exploratory and architecture-dependent.</w:t>
            </w:r>
          </w:p>
        </w:tc>
        <w:tc>
          <w:tcPr>
            <w:tcW w:type="dxa" w:w="2340"/>
          </w:tcPr>
          <w:p>
            <w:r>
              <w:t>low-to-moderate for descriptive arm-level contrast</w:t>
            </w:r>
          </w:p>
        </w:tc>
      </w:tr>
      <w:tr>
        <w:tc>
          <w:tcPr>
            <w:tcW w:type="dxa" w:w="2340"/>
          </w:tcPr>
          <w:p>
            <w:r>
              <w:t>Lineage-only toxicity interpretation is model-dependent after endpoint and architecture terms are included.</w:t>
            </w:r>
          </w:p>
        </w:tc>
        <w:tc>
          <w:tcPr>
            <w:tcW w:type="dxa" w:w="2340"/>
          </w:tcPr>
          <w:p>
            <w:r>
              <w:t>Supported for sensitivity analysis only</w:t>
            </w:r>
          </w:p>
        </w:tc>
        <w:tc>
          <w:tcPr>
            <w:tcW w:type="dxa" w:w="2340"/>
          </w:tcPr>
          <w:p>
            <w:r>
              <w:t>The lineage coefficient is model-dependent and noncausal; endpoint and architecture terms materially shape interpretation.</w:t>
            </w:r>
          </w:p>
        </w:tc>
        <w:tc>
          <w:tcPr>
            <w:tcW w:type="dxa" w:w="2340"/>
          </w:tcPr>
          <w:p>
            <w:r>
              <w:t>low for causal inference; moderate for model-dependence</w:t>
            </w:r>
          </w:p>
        </w:tc>
      </w:tr>
      <w:tr>
        <w:tc>
          <w:tcPr>
            <w:tcW w:type="dxa" w:w="2340"/>
          </w:tcPr>
          <w:p>
            <w:r>
              <w:t>Strict organ-specific irAE evidence is insufficient for a definitive lineage-wide meta-analysis.</w:t>
            </w:r>
          </w:p>
        </w:tc>
        <w:tc>
          <w:tcPr>
            <w:tcW w:type="dxa" w:w="2340"/>
          </w:tcPr>
          <w:p>
            <w:r>
              <w:t>Blocked / unsupported</w:t>
            </w:r>
          </w:p>
        </w:tc>
        <w:tc>
          <w:tcPr>
            <w:tcW w:type="dxa" w:w="2340"/>
          </w:tcPr>
          <w:p>
            <w:r>
              <w:t>Strict organ-specific irAE results are descriptive and not estimable for definitive lineage-wide pooling.</w:t>
            </w:r>
          </w:p>
        </w:tc>
        <w:tc>
          <w:tcPr>
            <w:tcW w:type="dxa" w:w="2340"/>
          </w:tcPr>
          <w:p>
            <w:r>
              <w:t>high for limitation</w:t>
            </w:r>
          </w:p>
        </w:tc>
      </w:tr>
      <w:tr>
        <w:tc>
          <w:tcPr>
            <w:tcW w:type="dxa" w:w="2340"/>
          </w:tcPr>
          <w:p>
            <w:r>
              <w:t>Chemotherapy timing can be described as regimen architecture association, not causal timing effect.</w:t>
            </w:r>
          </w:p>
        </w:tc>
        <w:tc>
          <w:tcPr>
            <w:tcW w:type="dxa" w:w="2340"/>
          </w:tcPr>
          <w:p>
            <w:r>
              <w:t>Supported for sensitivity analysis only</w:t>
            </w:r>
          </w:p>
        </w:tc>
        <w:tc>
          <w:tcPr>
            <w:tcW w:type="dxa" w:w="2340"/>
          </w:tcPr>
          <w:p>
            <w:r>
              <w:t>Observed toxicity varies by treatment architecture; exact ICI-before/during/after timing effects are not estimable.</w:t>
            </w:r>
          </w:p>
        </w:tc>
        <w:tc>
          <w:tcPr>
            <w:tcW w:type="dxa" w:w="2340"/>
          </w:tcPr>
          <w:p>
            <w:r>
              <w:t>moderate for architecture; low for exact timing</w:t>
            </w:r>
          </w:p>
        </w:tc>
      </w:tr>
      <w:tr>
        <w:tc>
          <w:tcPr>
            <w:tcW w:type="dxa" w:w="2340"/>
          </w:tcPr>
          <w:p>
            <w:r>
              <w:t>KEYNOTE-189/407 appendix rows strengthen global solid-tumor imAE source coverage but are not strict primary irAE comparators.</w:t>
            </w:r>
          </w:p>
        </w:tc>
        <w:tc>
          <w:tcPr>
            <w:tcW w:type="dxa" w:w="2340"/>
          </w:tcPr>
          <w:p>
            <w:r>
              <w:t>Supported for sensitivity analysis only</w:t>
            </w:r>
          </w:p>
        </w:tc>
        <w:tc>
          <w:tcPr>
            <w:tcW w:type="dxa" w:w="2340"/>
          </w:tcPr>
          <w:p>
            <w:r>
              <w:t>KEYNOTE-189/407 strengthen sensitivity mapping for solid tumors.</w:t>
            </w:r>
          </w:p>
        </w:tc>
        <w:tc>
          <w:tcPr>
            <w:tcW w:type="dxa" w:w="2340"/>
          </w:tcPr>
          <w:p>
            <w:r>
              <w:t>moderate for source coverage; low for direct clinical comparison</w:t>
            </w:r>
          </w:p>
        </w:tc>
      </w:tr>
      <w:tr>
        <w:tc>
          <w:tcPr>
            <w:tcW w:type="dxa" w:w="2340"/>
          </w:tcPr>
          <w:p>
            <w:r>
              <w:t>Lymphoma transcriptomes support immune-context remodeling rather than simple immune deficiency.</w:t>
            </w:r>
          </w:p>
        </w:tc>
        <w:tc>
          <w:tcPr>
            <w:tcW w:type="dxa" w:w="2340"/>
          </w:tcPr>
          <w:p>
            <w:r>
              <w:t>Descriptive/context only</w:t>
            </w:r>
          </w:p>
        </w:tc>
        <w:tc>
          <w:tcPr>
            <w:tcW w:type="dxa" w:w="2340"/>
          </w:tcPr>
          <w:p>
            <w:r>
              <w:t>Use immune-context remodeling language and restrict cross-cohort medians to descriptive context.</w:t>
            </w:r>
          </w:p>
        </w:tc>
        <w:tc>
          <w:tcPr>
            <w:tcW w:type="dxa" w:w="2340"/>
          </w:tcPr>
          <w:p>
            <w:r>
              <w:t>moderate for context; low for clinical inference</w:t>
            </w:r>
          </w:p>
        </w:tc>
      </w:tr>
      <w:tr>
        <w:tc>
          <w:tcPr>
            <w:tcW w:type="dxa" w:w="2340"/>
          </w:tcPr>
          <w:p>
            <w:r>
              <w:t>Glucocorticoids suppress inflammatory programs in perturbation data, supporting biological plausibility.</w:t>
            </w:r>
          </w:p>
        </w:tc>
        <w:tc>
          <w:tcPr>
            <w:tcW w:type="dxa" w:w="2340"/>
          </w:tcPr>
          <w:p>
            <w:r>
              <w:t>Mechanistically plausible</w:t>
            </w:r>
          </w:p>
        </w:tc>
        <w:tc>
          <w:tcPr>
            <w:tcW w:type="dxa" w:w="2340"/>
          </w:tcPr>
          <w:p>
            <w:r>
              <w:t>Steroid-sensitive inflammatory biology is plausible.</w:t>
            </w:r>
          </w:p>
        </w:tc>
        <w:tc>
          <w:tcPr>
            <w:tcW w:type="dxa" w:w="2340"/>
          </w:tcPr>
          <w:p>
            <w:r>
              <w:t>moderate-to-high mechanistically; not clinically estimable</w:t>
            </w:r>
          </w:p>
        </w:tc>
      </w:tr>
      <w:tr>
        <w:tc>
          <w:tcPr>
            <w:tcW w:type="dxa" w:w="2340"/>
          </w:tcPr>
          <w:p>
            <w:r>
              <w:t>Steroid exposure clinically explains apparent lower lymphoma irAE burden.</w:t>
            </w:r>
          </w:p>
        </w:tc>
        <w:tc>
          <w:tcPr>
            <w:tcW w:type="dxa" w:w="2340"/>
          </w:tcPr>
          <w:p>
            <w:r>
              <w:t>Not clinically estimable</w:t>
            </w:r>
          </w:p>
        </w:tc>
        <w:tc>
          <w:tcPr>
            <w:tcW w:type="dxa" w:w="2340"/>
          </w:tcPr>
          <w:p>
            <w:r>
              <w:t>Clinical steroid mediation remains unproven and requires patient-level or steroid-core regimen data.</w:t>
            </w:r>
          </w:p>
        </w:tc>
        <w:tc>
          <w:tcPr>
            <w:tcW w:type="dxa" w:w="2340"/>
          </w:tcPr>
          <w:p>
            <w:r>
              <w:t>high for limitation</w:t>
            </w:r>
          </w:p>
        </w:tc>
      </w:tr>
    </w:tbl>
    <w:p>
      <w:r>
        <w:rPr>
          <w:b w:val="0"/>
        </w:rPr>
      </w:r>
    </w:p>
    <w:p>
      <w:pPr>
        <w:pStyle w:val="Heading1"/>
      </w:pPr>
      <w:r>
        <w:t>Figure Legends</w:t>
      </w:r>
    </w:p>
    <w:p>
      <w:r>
        <w:rPr>
          <w:b w:val="0"/>
        </w:rPr>
        <w:t>Figure 1. Endpoint-aware evidence-decomposition workflow from source discovery to endpoint taxonomy, sensitivity layers, transcriptomic plausibility and claim gating.</w:t>
      </w:r>
    </w:p>
    <w:p>
      <w:r>
        <w:rPr>
          <w:b w:val="0"/>
        </w:rPr>
        <w:t>Figure 2. Clinical endpoint-stratified toxicity results showing endpoint layer, k, safety denominator and heterogeneity where estimable.</w:t>
      </w:r>
    </w:p>
    <w:p>
      <w:r>
        <w:rPr>
          <w:b w:val="0"/>
        </w:rPr>
        <w:t>Figure 3. Estimate attenuation and model dependence, contrasting lineage-only and endpoint/context-aware exploratory estimates.</w:t>
      </w:r>
    </w:p>
    <w:p>
      <w:r>
        <w:rPr>
          <w:b w:val="0"/>
        </w:rPr>
        <w:t>Figure 4. Regimen architecture and timing sensitivity, labelled as architecture association rather than causal timing effect.</w:t>
      </w:r>
    </w:p>
    <w:p>
      <w:r>
        <w:rPr>
          <w:b w:val="0"/>
        </w:rPr>
        <w:t>Figure 5. Transcriptomic immune-context remodeling summarized using within-cohort signature context without causal cross-cohort interpretation.</w:t>
      </w:r>
    </w:p>
    <w:p>
      <w:r>
        <w:rPr>
          <w:b w:val="0"/>
        </w:rPr>
        <w:t>Figure 6. Steroid perturbation and claim gate, showing steroid-sensitive inflammatory program suppression and bounded claim categories.</w:t>
      </w:r>
    </w:p>
    <w:p>
      <w:pPr>
        <w:pStyle w:val="Heading1"/>
      </w:pPr>
      <w:r>
        <w:t>Required Statements</w:t>
      </w:r>
    </w:p>
    <w:p>
      <w:pPr>
        <w:pStyle w:val="Heading2"/>
      </w:pPr>
      <w:r>
        <w:t>Contributors</w:t>
      </w:r>
    </w:p>
    <w:p>
      <w:r>
        <w:t>AUTHOR TO COMPLETE: list each author's contribution using CRediT-style roles or the JITC/BMJ portal categories. The corresponding author or designated guarantor should confirm that all authors meet authorship criteria.</w:t>
      </w:r>
    </w:p>
    <w:p>
      <w:pPr>
        <w:pStyle w:val="Heading2"/>
      </w:pPr>
      <w:r>
        <w:t>Funding</w:t>
      </w:r>
    </w:p>
    <w:p>
      <w:r>
        <w:t>AUTHOR TO COMPLETE: state all funding sources and grant numbers, or state that this work received no specific grant from any funding agency in the public, commercial or not-for-profit sectors.</w:t>
      </w:r>
    </w:p>
    <w:p>
      <w:pPr>
        <w:pStyle w:val="Heading2"/>
      </w:pPr>
      <w:r>
        <w:t>Competing interests</w:t>
      </w:r>
    </w:p>
    <w:p>
      <w:r>
        <w:t>AUTHOR TO COMPLETE: disclose all financial and non-financial competing interests for each author, or state that the authors declare no competing interests.</w:t>
      </w:r>
    </w:p>
    <w:p>
      <w:pPr>
        <w:pStyle w:val="Heading2"/>
      </w:pPr>
      <w:r>
        <w:t>Patient consent for publication</w:t>
      </w:r>
    </w:p>
    <w:p>
      <w:r>
        <w:t>Not applicable, pending author confirmation. This study uses published aggregate clinical trial data and public/de-identified transcriptomic resources and does not report individual identifiable patient information.</w:t>
      </w:r>
    </w:p>
    <w:p>
      <w:pPr>
        <w:pStyle w:val="Heading2"/>
      </w:pPr>
      <w:r>
        <w:t>Ethics approval</w:t>
      </w:r>
    </w:p>
    <w:p>
      <w:r>
        <w:t>AUTHOR/INSTITUTION TO CONFIRM. The current analysis uses published aggregate trial reports, regulatory/source documents and public/de-identified transcriptomic datasets, with no new patient recruitment or intervention. If institutional policy requires review or exemption documentation, add the approval/exemption identifier before submission.</w:t>
      </w:r>
    </w:p>
    <w:p>
      <w:pPr>
        <w:pStyle w:val="Heading2"/>
      </w:pPr>
      <w:r>
        <w:t>Data availability statement</w:t>
      </w:r>
    </w:p>
    <w:p>
      <w:r>
        <w:t>All extracted data tables, audit outputs and scripts used for the manuscript are included in the local reproducibility package. Before journal submission, AUTHOR TO COMPLETE should provide a public repository URL/DOI or state the access conditions if a repository release is pending.</w:t>
      </w:r>
    </w:p>
    <w:p>
      <w:pPr>
        <w:pStyle w:val="Heading2"/>
      </w:pPr>
      <w:r>
        <w:t>Code availability</w:t>
      </w:r>
    </w:p>
    <w:p>
      <w:r>
        <w:t>The v1.3/v1.4/v1.5 reproducibility scripts are included in the project repository. The v1.5 portal package is generated without rerunning clinical or transcriptomic analyses.</w:t>
      </w:r>
    </w:p>
    <w:p>
      <w:pPr>
        <w:pStyle w:val="Heading2"/>
      </w:pPr>
      <w:r>
        <w:t>Acknowledgements</w:t>
      </w:r>
    </w:p>
    <w:p>
      <w:r>
        <w:t>AUTHOR TO COMPLETE.</w:t>
      </w:r>
    </w:p>
    <w:p>
      <w:pPr>
        <w:pStyle w:val="Heading2"/>
      </w:pPr>
      <w:r>
        <w:t>Provenance and peer review</w:t>
      </w:r>
    </w:p>
    <w:p>
      <w:r>
        <w:t>Not commissioned; externally peer reviewed if accepted by the journal. AUTHOR TO COMPLETE if the journal requires a different wording.</w:t>
      </w:r>
    </w:p>
    <w:p>
      <w:pPr>
        <w:pStyle w:val="Heading2"/>
      </w:pPr>
      <w:r>
        <w:t>Reporting guideline</w:t>
      </w:r>
    </w:p>
    <w:p>
      <w:r>
        <w:t>An adapted PRISMA/MOOSE-style checklist for endpoint-aware evidence synthesis is included as JITC_REPORTING_CHECKLIST_V1_5.docx.</w:t>
      </w:r>
    </w:p>
    <w:p>
      <w:pPr>
        <w:pStyle w:val="Heading1"/>
      </w:pPr>
      <w:r>
        <w:t>References</w:t>
      </w:r>
    </w:p>
    <w:p>
      <w:r>
        <w:t>1. Borghaei H, Paz-Ares L, Horn L, Spigel DR, Steins M, Ready NE, et al. Nivolumab versus Docetaxel in Advanced Nonsquamous Non–Small-Cell Lung Cancer. New England Journal of Medicine. 2015;373(17):1627-1639. doi:10.1056/nejmoa1507643</w:t>
      </w:r>
    </w:p>
    <w:p>
      <w:r>
        <w:t>2. Brahmer J, Reckamp KL, Baas P, Crinò L, Eberhardt WEE, Poddubskaya E, et al. Nivolumab versus Docetaxel in Advanced Squamous-Cell Non–Small-Cell Lung Cancer. New England Journal of Medicine. 2015;373(2):123-135. doi:10.1056/nejmoa1504627</w:t>
      </w:r>
    </w:p>
    <w:p>
      <w:r>
        <w:t>3. Larkin J, Chiarion-Sileni V, Gonzalez R, Grob JJ, Cowey CL, Lao CD, et al. Combined Nivolumab and Ipilimumab or Monotherapy in Untreated Melanoma. New England Journal of Medicine. 2015;373(1):23-34. doi:10.1056/nejmoa1504030</w:t>
      </w:r>
    </w:p>
    <w:p>
      <w:r>
        <w:t>4. Robert C, Schachter J, Long GV, Arance A, Grob JJ, Mortier L, et al. Pembrolizumab versus Ipilimumab in Advanced Melanoma. New England Journal of Medicine. 2015;372(26):2521-2532. doi:10.1056/nejmoa1503093</w:t>
      </w:r>
    </w:p>
    <w:p>
      <w:r>
        <w:t>5. Reck M, Rodríguez-Abreu D, Robinson AG, Hui R, Csőszi T, Fülöp A, et al. Pembrolizumab versus Chemotherapy for PD-L1–Positive Non–Small-Cell Lung Cancer. New England Journal of Medicine. 2016;375(19):1823-1833. doi:10.1056/nejmoa1606774</w:t>
      </w:r>
    </w:p>
    <w:p>
      <w:r>
        <w:t>6. Antonia SJ, Villegas A, Daniel D, Vicente D, Murakami S, Hui R, et al. Durvalumab after Chemoradiotherapy in Stage III Non–Small-Cell Lung Cancer. New England Journal of Medicine. 2017;377(20):1919-1929. doi:10.1056/nejmoa1709937</w:t>
      </w:r>
    </w:p>
    <w:p>
      <w:r>
        <w:t>7. Gandhi L, Rodríguez-Abreu D, Gadgeel S, Esteban E, Felip E, De Angelis F, et al. Pembrolizumab plus Chemotherapy in Metastatic Non–Small-Cell Lung Cancer. New England Journal of Medicine. 2018;378(22):2078-2092. doi:10.1056/nejmoa1801005</w:t>
      </w:r>
    </w:p>
    <w:p>
      <w:r>
        <w:t>8. Motzer RJ, Tannir NM, McDermott DF, Arén Frontera O, Melichar B, Choueiri TK, et al. Nivolumab plus Ipilimumab versus Sunitinib in Advanced Renal-Cell Carcinoma. New England Journal of Medicine. 2018;378(14):1277-1290. doi:10.1056/nejmoa1712126</w:t>
      </w:r>
    </w:p>
    <w:p>
      <w:r>
        <w:t>9. Paz-Ares L, Luft A, Vicente D, Tafreshi A, Gümüş M, Mazières J, et al. Pembrolizumab plus Chemotherapy for Squamous Non–Small-Cell Lung Cancer. New England Journal of Medicine. 2018;379(21):2040-2051. doi:10.1056/nejmoa1810865</w:t>
      </w:r>
    </w:p>
    <w:p>
      <w:r>
        <w:t>10. Ramchandren R, Domingo-Domènech E, Rueda A, Trněný M, Feldman TA, Lee HJ, et al. Nivolumab for Newly Diagnosed Advanced-Stage Classic Hodgkin Lymphoma: Safety and Efficacy in the Phase II CheckMate 205 Study. Journal of Clinical Oncology. 2019;37(23):1997-2007. doi:10.1200/jco.19.00315</w:t>
      </w:r>
    </w:p>
    <w:p>
      <w:r>
        <w:t>11. Rini BI, Plimack ER, Stus V, Gafanov R, Hawkins R, Nosov D, et al. Pembrolizumab plus Axitinib versus Sunitinib for Advanced Renal-Cell Carcinoma. New England Journal of Medicine. 2019;380(12):1116-1127. doi:10.1056/nejmoa1816714</w:t>
      </w:r>
    </w:p>
    <w:p>
      <w:r>
        <w:t>12. Finn RS, Qin S, Ikeda M, Galle PR, Ducreux M, Kim TY, et al. Atezolizumab plus Bevacizumab in Unresectable Hepatocellular Carcinoma. New England Journal of Medicine. 2020;382(20):1894-1905. doi:10.1056/nejmoa1915745</w:t>
      </w:r>
    </w:p>
    <w:p>
      <w:r>
        <w:t>13. Powles T, Park SH, Voog E, Caserta C, Valderrama BP, Gurney H, et al. Avelumab Maintenance Therapy for Advanced or Metastatic Urothelial Carcinoma. New England Journal of Medicine. 2020;383(13):1218-1230. doi:10.1056/nejmoa2002788</w:t>
      </w:r>
    </w:p>
    <w:p>
      <w:r>
        <w:t>14. Schmid P, Cortes J, Pusztai L, McArthur H, Kümmel S, Bergh J, et al. Pembrolizumab for Early Triple-Negative Breast Cancer. New England Journal of Medicine. 2020;382(9):810-821. doi:10.1056/nejmoa1910549</w:t>
      </w:r>
    </w:p>
    <w:p>
      <w:r>
        <w:t>15. Allen PB, Savas H, Evens AM, Advani RH, Palmer B, Pro B, et al. Pembrolizumab followed by AVD in untreated early unfavorable and advanced-stage classical Hodgkin lymphoma. Blood. 2021;137(10):1318-1326. doi:10.1182/blood.2020007400</w:t>
      </w:r>
    </w:p>
    <w:p>
      <w:r>
        <w:t>16. Choueiri TK, Tomczak P, Park SH, Venugopal B, Ferguson T, Chang YH, et al. Adjuvant Pembrolizumab after Nephrectomy in Renal-Cell Carcinoma. New England Journal of Medicine. 2021;385(8):683-694. doi:10.1056/nejmoa2106391</w:t>
      </w:r>
    </w:p>
    <w:p>
      <w:r>
        <w:t>17. 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r>
        <w:t>18. 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r>
        <w:t>19. Moskowitz AJ, Shah G, Schöder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r>
        <w:t>20. 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r>
        <w:t>21. Satouchi M, Nosaki K, Takahashi T, Nakagawa K, Aoe K, Kurata T, et al. First‐line pembrolizumab vs chemotherapy in metastatic non‐small‐cell lung cancer: KEYNOTE‐024 Japan subset*. Cancer Science. 2021;112(12):5000-5010. doi:10.1111/cas.15144</w:t>
      </w:r>
    </w:p>
    <w:p>
      <w:r>
        <w:t>22. Sezer A, Kilickap S, Gümüş M, Bondarenko I, Özgüroğlu M, Gogishvili M, et al. Cemiplimab monotherapy for first-line treatment of advanced non-small-cell lung cancer with PD-L1 of at least 50%: a multicentre, open-label, global, phase 3, randomised, controlled trial. The Lancet. 2021;397(10274):592-604. doi:10.1016/s0140-6736(21)00228-2</w:t>
      </w:r>
    </w:p>
    <w:p>
      <w:r>
        <w:t>23. 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r>
        <w:t>24. Forde PM, Spicer J, Lu S, Provencio M, Mitsudomi T, Awad MM, et al. Neoadjuvant Nivolumab plus Chemotherapy in Resectable Lung Cancer. New England Journal of Medicine. 2022;386(21):1973-1985. doi:10.1056/nejmoa2202170</w:t>
      </w:r>
    </w:p>
    <w:p>
      <w:r>
        <w:t>25. Gogishvili M, Melkadze T, Makharadze T, Giorgadze D, Dvorkin M, Penkov K, et al. Cemiplimab plus chemotherapy versus chemotherapy alone in non-small cell lung cancer: a randomized, controlled, double-blind phase 3 trial. Nature Medicine. 2022;28(11):2374-2380. doi:10.1038/s41591-022-01977-y</w:t>
      </w:r>
    </w:p>
    <w:p>
      <w:r>
        <w:t>26. Makker V, Colombo N, Casado Herráez A, Santin AD, Colomba E, Miller DS, et al. Lenvatinib plus Pembrolizumab for Advanced Endometrial Cancer. New England Journal of Medicine. 2022;386(5):437-448. doi:10.1056/nejmoa2108330</w:t>
      </w:r>
    </w:p>
    <w:p>
      <w:r>
        <w:t>27. Mei MG, Lee HJ, Palmer JM, Chen R, Tsai NC, Chen L, et al. Response-adapted anti-PD-1–based salvage therapy for Hodgkin lymphoma with nivolumab alone or in combination with ICE. Blood. 2022;139(25):3605-3616. doi:10.1182/blood.2022015423</w:t>
      </w:r>
    </w:p>
    <w:p>
      <w:r>
        <w:t>28. Naidoo J, Vansteenkiste JF, Faivre-Finn C, Özgüroğlu M, Murakami S, Hui R, et al. Characterizing immune-mediated adverse events with durvalumab in patients with unresectable stage III NSCLC: A post-hoc analysis of the PACIFIC trial. Lung Cancer. 2022;166:84-93. doi:10.1016/j.lungcan.2022.02.003</w:t>
      </w:r>
    </w:p>
    <w:p>
      <w:r>
        <w:t>29. Armand P, Zinzani PL, Lee HJ, Johnson NA, Brice P, Radford J, et al. Five-year follow-up of KEYNOTE-087: pembrolizumab monotherapy for relapsed/refractory classical Hodgkin lymphoma. Blood. 2023;142(10):878-886. doi:10.1182/blood.2022019386</w:t>
      </w:r>
    </w:p>
    <w:p>
      <w:r>
        <w:t>30. Garassino MC, Gadgeel S, Speranza G, Felip E, Esteban E, Dómine M, et al. Pembrolizumab Plus Pemetrexed and Platinum in Nonsquamous Non–Small-Cell Lung Cancer: 5-Year Outcomes From the Phase 3 KEYNOTE-189 Study. Journal of Clinical Oncology. 2023;41(11):1992-1998. doi:10.1200/jco.22.01989</w:t>
      </w:r>
    </w:p>
    <w:p>
      <w:r>
        <w:t>31. Novello S, Kowalski DM, Luft A, Gümüş M, Vicente D, Mazières J, et al. Pembrolizumab Plus Chemotherapy in Squamous Non–Small-Cell Lung Cancer: 5-Year Update of the Phase III KEYNOTE-407 Study. Journal of Clinical Oncology. 2023;41(11):1999-2006. doi:10.1200/jco.22.01990</w:t>
      </w:r>
    </w:p>
    <w:p>
      <w:r>
        <w:t>32. Zinzani PL, Thieblemont C, Melnichenko V, Bouabdallah K, Walewski J, Majlis A, et al. Pembrolizumab in Relapsed or Refractory Primary Mediastinal Large B-Cell Lymphoma: Final Analysis of KEYNOTE-170. Blood Journal. 2023. doi:10.1182/blood.2022019340</w:t>
      </w:r>
    </w:p>
    <w:p>
      <w:r>
        <w:t>33. Park SH, Chang YH, Lee JL, Choueiri TK, Kimura G, Chung J, et al. Adjuvant Pembrolizumab Versus Placebo for Renal Cell Carcinoma in the East Asian Subgroup of the Phase 3 KEYNOTE-564 Study. Cancer Research and Treatment. 2026;58(2):613-621. doi:10.4143/crt.2025.365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