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e6a7ea6e8b7cd4e6b373161deefd1a7deb9057"/>
    <w:p>
      <w:pPr>
        <w:pStyle w:val="Heading1"/>
      </w:pPr>
      <w:r>
        <w:t xml:space="preserve">Decomposing Immune Checkpoint Inhibitor Toxicity Phenotypes Across Lymphoma and Solid Tumors: An Endpoint-Stratified Translational Evidence Analysis</w:t>
      </w:r>
    </w:p>
    <w:bookmarkStart w:id="9" w:name="abstract"/>
    <w:p>
      <w:pPr>
        <w:pStyle w:val="Heading2"/>
      </w:pPr>
      <w:r>
        <w:t xml:space="preserve">Abstract</w:t>
      </w:r>
    </w:p>
    <w:p>
      <w:pPr>
        <w:pStyle w:val="FirstParagraph"/>
      </w:pPr>
      <w:r>
        <w:t xml:space="preserve">Immune checkpoint inhibitor (ICI) toxicity is often summarized as a single comparative outcome, although published safety endpoints capture distinct clinical phenotypes. Prior work has shown that immune-related adverse event reporting is inconsistent and terminology-dependent; the unresolved question is whether this endpoint heterogeneity changes the clinical answer to a concrete cross-tumor comparison. We used lymphoma versus solid-tumor ICI toxicity as a translational stress test. The analysis combined a locked source registry with endpoint taxonomy, source-tier annotation, endpoint-compatible pooled estimates where justified, organ-specific strict irAE compatibility audit, exploratory arm-level models, transcriptomic/steroid perturbation plausibility layers and an external patient-level melanoma PBMC RNA-seq validation cohort with sample-level irAE grade labels. The registry contained 384 rows across 36 study/source blocks; 71 rows were primary-pooling compatible and 313 were sensitivity, audit or context evidence. The lymphoma-solid answer changed by phenotype. Broad high-grade treatment-related adverse events showed a visible but heterogeneous sensitivity-only contrast: lymphoma 19.1% (95% CI 6.1-46.4; prediction interval 1.4-80.2; k=4; events=75/N=462; I2=95.2%), compared with solid tumors 31.1% (95% CI 20.2-44.6; prediction interval 4.7-80.5; k=14; events=2237/N=5130; I2=98.7%). In contrast, strict organ-specific inflammatory irAE inference was mostly not estimable, with 18 of 23 organ-by-grade strata unsuitable for lineage-wide pooling. Architecture-stratified broad toxicity supported regimen-associated interpretation. In an external patient-level melanoma PBMC RNA-seq cohort, severe irAE status (grade &gt;=3; n=21) versus grade 0-2 (n=39) was associated with higher cytotoxicity (median delta 0.664; bootstrap 95% CI 0.206 to 1.210; P=0.00435) and related immune signatures, supporting toxicity phenotype decomposability when harmonized patient-level labels exist. Transcriptomic and methylprednisolone perturbation layers supported biological plausibility only. These findings demonstrate endpoint-phenotype conclusion instability: current aggregate evidence supports a broad safety-burden contrast but not intrinsic lineage causality, strict organ-specific irAE causality, exact chemotherapy-timing causality or clinical steroid mediation.</w:t>
      </w:r>
    </w:p>
    <w:bookmarkEnd w:id="9"/>
    <w:bookmarkStart w:id="10" w:name="introduction"/>
    <w:p>
      <w:pPr>
        <w:pStyle w:val="Heading2"/>
      </w:pPr>
      <w:r>
        <w:t xml:space="preserve">Introduction</w:t>
      </w:r>
    </w:p>
    <w:p>
      <w:pPr>
        <w:pStyle w:val="FirstParagraph"/>
      </w:pPr>
      <w:r>
        <w:t xml:space="preserve">Immune checkpoint inhibitors have introduced a toxicity spectrum that is clinically different from conventional cytotoxic therapy, but the way these toxicities are summarized in trials and reviews remains heterogeneous. Published safety tables may report strict immune-related adverse events, immune-mediated adverse events, adverse events of special interest, high-grade treatment-related adverse events, selected adverse events, regulatory safety rows or registry-derived signals. These labels are not interchangeable. Earlier systematic reviews and reporting-quality audits established that irAE reporting is inconsistent across ICI trials, and consensus efforts have emphasized the need for standardized irAE terminology. Those studies create the premise for the present analysis; they do not by themselves show how a specific cross-tumor clinical comparison changes when the endpoint phenotype changes.</w:t>
      </w:r>
    </w:p>
    <w:p>
      <w:pPr>
        <w:pStyle w:val="BodyText"/>
      </w:pPr>
      <w:r>
        <w:t xml:space="preserve">The lymphoma-versus-solid tumor comparison is a useful stress test because it is clinically plausible and biologically tempting, but also highly vulnerable to confounding by treatment architecture, tumor immune context, source tier and endpoint label. A conventional incidence meta-analysis would ask whether one lineage has more toxicity than the other. That framing is too coarse. A broad high-grade treatment-related AE comparison asks about regimen-level safety burden. A strict organ-specific irAE comparison asks about inflammatory immune toxicity. A regulatory or registry signal asks about source coverage and signal detection. A transcriptomic or steroid perturbation layer asks about biological plausibility. These are related but different toxicity phenotypes.</w:t>
      </w:r>
    </w:p>
    <w:p>
      <w:pPr>
        <w:pStyle w:val="BodyText"/>
      </w:pPr>
      <w:r>
        <w:t xml:space="preserve">We therefore reframed the analysis as ICI toxicity phenotype decomposition. The aim was not to prove or refute an intrinsic lymphoma-versus-solid tumor toxicity effect. Instead, we asked whether the same clinical comparison retains the same answer across endpoint-defined toxicity phenotypes. This turns a potentially weak lineage meta-analysis into an empirical test of conclusion stability: when public aggregate evidence is stratified by phenotype, which answers are visible, which are sensitivity-only, which are non-estimable, and which remain biological hypotheses?</w:t>
      </w:r>
    </w:p>
    <w:bookmarkEnd w:id="10"/>
    <w:bookmarkStart w:id="11" w:name="methods"/>
    <w:p>
      <w:pPr>
        <w:pStyle w:val="Heading2"/>
      </w:pPr>
      <w:r>
        <w:t xml:space="preserve">Methods</w:t>
      </w:r>
    </w:p>
    <w:p>
      <w:pPr>
        <w:pStyle w:val="FirstParagraph"/>
      </w:pPr>
      <w:r>
        <w:t xml:space="preserve">We used the locked v2.3 to v2.5 registry and analysis outputs without adding new source rows, denominators, event counts or trial-level references. The evidence registry captured study/source block, tumor lineage, tumor type, lymphoma subtype when available, regimen, ICI agent and class, chemotherapy context, timing architecture, steroid-core regimen status, source endpoint label, endpoint taxonomy, safety denominator, event count, rate, grade, source tier, quantitative role and eligibility for primary pooling.</w:t>
      </w:r>
    </w:p>
    <w:p>
      <w:pPr>
        <w:pStyle w:val="BodyText"/>
      </w:pPr>
      <w:r>
        <w:t xml:space="preserve">Endpoint taxonomy separated strict irAE, immune-mediated AE/imAE, adverse events of special interest when present in source labels, treatment-related AE, selected AE sensitivity, regulatory sensitivity, registry audit only, subgroup/post-hoc sensitivity and context-only rows. These categories were not pooled as one endpoint. Endpoint-compatible random-effects pooled estimates were taken from the locked clinical synthesis output. Treatment-related high-grade AE was analyzed as a broad safety-burden phenotype and was not interpreted as strict inflammatory irAE. Strata with k&lt;2, non-exchangeable endpoint labels or insufficient lineage/source coverage were labelled not estimable or sensitivity-only.</w:t>
      </w:r>
    </w:p>
    <w:p>
      <w:pPr>
        <w:pStyle w:val="BodyText"/>
      </w:pPr>
      <w:r>
        <w:t xml:space="preserve">The v2.6 novelty audit compared the manuscript against five adjacent literature groups: reporting-quality and inconsistency audits, consensus definition papers, tumor- and class-specific irAE systematic reviews, organ-specific irAE reviews and pharmacovigilance or real-world toxicity-pattern studies. This audit was used to refine positioning, not to add clinical event data. The v2.6 conclusion-instability analysis assigned each toxicity phenotype layer a clinical answer state: visible broad contrast, endpoint-dependent/non-exchangeable, mostly not estimable, audit/context only, architecture-associated, biological plausibility, mechanistic axis only or causal effect not estimable. These classifications were anchored to locked quantitative outputs and were not causal model estimates.</w:t>
      </w:r>
    </w:p>
    <w:p>
      <w:pPr>
        <w:pStyle w:val="BodyText"/>
      </w:pPr>
      <w:r>
        <w:t xml:space="preserve">For v2.8, we added an external patient-level biomarker validation layer using the public Lozano et al. melanoma checkpoint-blockade PBMC RNA-seq cohort deposited as GEO GSE186144/GSE186143. GEO series matrices were parsed for patient identifier, diagnosis, therapy type and highest irAE grade. The GSE186143 bulk TPM matrix was downloaded from GEO supplementary files. Because GSE186144 is a SuperSeries containing the GSE186143 bulk SubSeries, duplicate metadata rows were removed by retaining one row per patient and prioritizing GSE186143. Healthy controls and melanoma samples without irAE grade were excluded from severe-versus-non-severe association tests. Severe irAE was defined from the GEO field as highest irAE grade &gt;=3; non-severe was grade 0-2. Locked manuscript signatures were scored as the average gene-wise z-score over log2(TPM+1) expression. Severe-minus-non-severe median deltas were estimated with bootstrap confidence intervals and Mann-Whitney tests. This analysis was specified as external patient-level validation of phenotype decomposability, not as lymphoma-versus-solid causal evidence and not as steroid mediation.</w:t>
      </w:r>
    </w:p>
    <w:bookmarkEnd w:id="11"/>
    <w:bookmarkStart w:id="20" w:name="results"/>
    <w:p>
      <w:pPr>
        <w:pStyle w:val="Heading2"/>
      </w:pPr>
      <w:r>
        <w:t xml:space="preserve">Results</w:t>
      </w:r>
    </w:p>
    <w:bookmarkStart w:id="12" w:name="Xadada1483097a605278adfdb79be7c86b2c6a5d"/>
    <w:p>
      <w:pPr>
        <w:pStyle w:val="Heading3"/>
      </w:pPr>
      <w:r>
        <w:t xml:space="preserve">Adjacent literature supports the premise but does not answer the phenotype-specific question</w:t>
      </w:r>
    </w:p>
    <w:p>
      <w:pPr>
        <w:pStyle w:val="FirstParagraph"/>
      </w:pPr>
      <w:r>
        <w:t xml:space="preserve">The competitor scan showed that the manuscript should not be positioned as the first study to notice inconsistent irAE reporting. That problem has been described by prior reporting audits and consensus-definition efforts. Nor should it be framed as another tumor-type or organ-specific irAE incidence meta-analysis. The gap left by those literatures is different: they do not show how the same lymphoma-versus-solid tumor ICI toxicity question changes answer state when the endpoint is decomposed into broad treatment-related safety burden, global inflammatory labels, strict organ-specific irAE, architecture-associated toxicity, source-tier signals and biological plausibility layers.</w:t>
      </w:r>
    </w:p>
    <w:bookmarkEnd w:id="12"/>
    <w:bookmarkStart w:id="13" w:name="X27e42c594e44947d6c6054685e14fb4f2b30574"/>
    <w:p>
      <w:pPr>
        <w:pStyle w:val="Heading3"/>
      </w:pPr>
      <w:r>
        <w:t xml:space="preserve">Public aggregate evidence describes multiple ICI toxicity phenotypes</w:t>
      </w:r>
    </w:p>
    <w:p>
      <w:pPr>
        <w:pStyle w:val="FirstParagraph"/>
      </w:pPr>
      <w:r>
        <w:t xml:space="preserve">The locked registry contained 384 source rows across 36 study/source blocks. Only 71 rows were eligible for endpoint-compatible primary pooling, while 313 rows were retained as sensitivity, audit or context evidence. Endpoint labels were distributed across strict irAE, immune-mediated AE/imAE, treatment-related AE, registry audit, regulatory sensitivity, selected AE sensitivity, subgroup/post-hoc sensitivity and context-only categories. This source structure indicates that the public literature does not report a single ICI toxicity outcome. It reports multiple endpoint-defined toxicity phenotypes.</w:t>
      </w:r>
    </w:p>
    <w:bookmarkEnd w:id="13"/>
    <w:bookmarkStart w:id="14" w:name="Xf7e5ddfc29a88acd1948c8692647213d09cc828"/>
    <w:p>
      <w:pPr>
        <w:pStyle w:val="Heading3"/>
      </w:pPr>
      <w:r>
        <w:t xml:space="preserve">Endpoint phenotype choice changed the lymphoma-versus-solid tumor answer</w:t>
      </w:r>
    </w:p>
    <w:p>
      <w:pPr>
        <w:pStyle w:val="FirstParagraph"/>
      </w:pPr>
      <w:r>
        <w:t xml:space="preserve">The conclusion-instability analysis showed that the answer to the same clinical question depended on phenotype selection. In the broad high-grade treatment-related AE phenotype, a visible contrast was observed: lymphoma 19.1% (95% CI 6.1-46.4; prediction interval 1.4-80.2; k=4; events=75/N=462; I2=95.2%), compared with solid tumors 31.1% (95% CI 20.2-44.6; prediction interval 4.7-80.5; k=14; events=2237/N=5130; I2=98.7%). The random-effects point estimate was 12.0 percentage points higher in solid-tumor arms. However, heterogeneity was very high in both lineages and the endpoint captures broad treatment-related safety burden rather than strict inflammatory irAE.</w:t>
      </w:r>
    </w:p>
    <w:p>
      <w:pPr>
        <w:pStyle w:val="BodyText"/>
      </w:pPr>
      <w:r>
        <w:t xml:space="preserve">When the endpoint shifted to global inflammatory labels, the conclusion became endpoint-dependent rather than directly comparative. The registry contained strict irAE and immune-mediated AE/imAE rows, but these labels were not exchangeable across source tiers and reporting conventions. A single all-row global inflammatory toxicity estimate would therefore answer an ill-defined question.</w:t>
      </w:r>
    </w:p>
    <w:bookmarkEnd w:id="14"/>
    <w:bookmarkStart w:id="15" w:name="Xbb2860dc255727b9febdb4e0700dbd4dfbaf44a"/>
    <w:p>
      <w:pPr>
        <w:pStyle w:val="Heading3"/>
      </w:pPr>
      <w:r>
        <w:t xml:space="preserve">Strict organ-specific inflammatory irAE inference was mostly not estimable</w:t>
      </w:r>
    </w:p>
    <w:p>
      <w:pPr>
        <w:pStyle w:val="FirstParagraph"/>
      </w:pPr>
      <w:r>
        <w:t xml:space="preserve">The strictest clinically relevant phenotype was organ-specific inflammatory irAE. The dedicated audit identified 341 organ-specific rows, 99 strict irAE rows and 53 primary-compatible organ-specific strict irAE rows. Across 23 organ-by-grade strata, 18 were not estimable for lineage-wide pooling. This is not only a limitation; it is the clearest empirical boundary of the public evidence. The aggregate literature can support a broad high-grade safety-burden contrast, but it usually cannot support the organ-specific strict irAE lineage comparison that clinicians would need for causal interpretation.</w:t>
      </w:r>
    </w:p>
    <w:bookmarkEnd w:id="15"/>
    <w:bookmarkStart w:id="16" w:name="X4e5c25c8d8c252da8f710ac7d236c6471ce2fe9"/>
    <w:p>
      <w:pPr>
        <w:pStyle w:val="Heading3"/>
      </w:pPr>
      <w:r>
        <w:t xml:space="preserve">Regimen architecture defined a separate broad-toxicity phenotype</w:t>
      </w:r>
    </w:p>
    <w:p>
      <w:pPr>
        <w:pStyle w:val="FirstParagraph"/>
      </w:pPr>
      <w:r>
        <w:t xml:space="preserve">Architecture-stratified high-grade treatment-related AE estimates supported a separate clinical phenotype: concurrent chemotherapy context 58.9% (95% CI 44.0-72.4; k=5) versus no-cytotoxic-chemotherapy context 17.0% (95% CI 10.2-26.9; k=12). The ICI-before-chemotherapy category was not pooled because only one compatible arm was available. These findings support architecture-aware interpretation of broad toxicity burden, but they do not establish exact timing causality from aggregate arm-level data.</w:t>
      </w:r>
    </w:p>
    <w:bookmarkEnd w:id="16"/>
    <w:bookmarkStart w:id="17" w:name="Xda7d2b7c741ca1ad9ad2b57e18c1e9ffb9e3a9b"/>
    <w:p>
      <w:pPr>
        <w:pStyle w:val="Heading3"/>
      </w:pPr>
      <w:r>
        <w:t xml:space="preserve">Immune-context and steroid-sensitive programs generated hypotheses, not clinical mediation</w:t>
      </w:r>
    </w:p>
    <w:p>
      <w:pPr>
        <w:pStyle w:val="FirstParagraph"/>
      </w:pPr>
      <w:r>
        <w:t xml:space="preserve">Reference transcriptomic signatures supported immune-context heterogeneity rather than a simple immune-deficient lymphoma comparator. These cohorts were not batch-harmonized for causal cross-cohort inference and were not linked to patient-level irAE outcomes, so they provide descriptive biological context only. Paired methylprednisolone perturbation data supported a steroid-sensitive inflammatory biology axis, with inflammatory programs suppressed and glucocorticoid-response programs increased. This does not establish clinical steroid mediation of lymphoma-versus-solid tumor toxicity differences.</w:t>
      </w:r>
    </w:p>
    <w:bookmarkEnd w:id="17"/>
    <w:bookmarkStart w:id="18" w:name="X6acd6d9be595bd5a4e73c17dcbd16ef2ff30407"/>
    <w:p>
      <w:pPr>
        <w:pStyle w:val="Heading3"/>
      </w:pPr>
      <w:r>
        <w:t xml:space="preserve">External patient-level irAE biomarker data supported phenotype decomposability</w:t>
      </w:r>
    </w:p>
    <w:p>
      <w:pPr>
        <w:pStyle w:val="FirstParagraph"/>
      </w:pPr>
      <w:r>
        <w:t xml:space="preserve">To test whether the decomposition model could connect to patient-level biology when harmonized toxicity labels are available, we reprocessed the public Lozano et al. melanoma checkpoint-blockade PBMC RNA-seq cohort. GEO metadata provided patient-level highest irAE grade, therapy type and bulk PBMC transcriptomes. After excluding healthy controls and one melanoma sample with missing irAE grade, 60 melanoma samples were available: 21 with severe irAE, defined as highest grade &gt;=3, and 39 with grade 0-2.</w:t>
      </w:r>
    </w:p>
    <w:p>
      <w:pPr>
        <w:pStyle w:val="BodyText"/>
      </w:pPr>
      <w:r>
        <w:t xml:space="preserve">Locked immune signatures showed exploratory associations with severe irAE status. Cytotoxicity was higher in severe irAE samples than grade 0-2 samples, with a median severe-minus-non-severe delta of 0.664 (bootstrap 95% CI, 0.206 to 1.210; Mann-Whitney P=0.00435). Similar exploratory signals were observed for TAM/M2-like inflammation (delta 0.613; 95% CI, 0.232 to 1.073; P=0.00457), MHC-II antigen presentation (delta 0.754; 95% CI, 0.020 to 1.426; P=0.0058) and B-cell context (delta 0.522; 95% CI, 0.079 to 1.010; P=0.0131). These results do not address lymphoma-versus-solid lineage causality, but they strengthen the translational premise that ICI toxicity phenotypes are biologically measurable when patient-level irAE labels and molecular profiles are jointly available.</w:t>
      </w:r>
    </w:p>
    <w:bookmarkEnd w:id="18"/>
    <w:bookmarkStart w:id="19" w:name="X41bd26d7eeaf904f7443a1ab87fb4fa147372a8"/>
    <w:p>
      <w:pPr>
        <w:pStyle w:val="Heading3"/>
      </w:pPr>
      <w:r>
        <w:t xml:space="preserve">Phenotype decomposition converts a negative meta-analytic result into a testable research program</w:t>
      </w:r>
    </w:p>
    <w:p>
      <w:pPr>
        <w:pStyle w:val="FirstParagraph"/>
      </w:pPr>
      <w:r>
        <w:t xml:space="preserve">The endpoint-phenotype matrix separated eight answer states: visible broad contrast, endpoint-dependent global inflammatory labels, mostly non-estimable organ-specific strict irAE, selected/regulatory/registry source-coverage signals, architecture-associated broad toxicity, immune-context plausibility, steroid-sensitive mechanistic axis and causal lineage question not estimable. This is the manuscript’s practical contribution. It explains why an undifferentiated lymphoma-versus-solid tumor toxicity meta-analysis is not the right estimand, while preserving clinically useful findings about broad safety burden, architecture-associated toxicity and future patient-level measurement requirements.</w:t>
      </w:r>
    </w:p>
    <w:bookmarkEnd w:id="19"/>
    <w:bookmarkEnd w:id="20"/>
    <w:bookmarkStart w:id="21" w:name="discussion"/>
    <w:p>
      <w:pPr>
        <w:pStyle w:val="Heading2"/>
      </w:pPr>
      <w:r>
        <w:t xml:space="preserve">Discussion</w:t>
      </w:r>
    </w:p>
    <w:p>
      <w:pPr>
        <w:pStyle w:val="FirstParagraph"/>
      </w:pPr>
      <w:r>
        <w:t xml:space="preserve">This analysis supports ICI toxicity phenotype decomposition as a clinically relevant way to interpret cross-tumor safety evidence. The main finding is endpoint-phenotype conclusion instability. The same lymphoma-versus-solid tumor comparison yields a visible broad high-grade treatment-related AE contrast, a non-exchangeable global inflammatory label problem, a mostly non-estimable strict organ-specific irAE comparison and biological plausibility axes that cannot be interpreted as clinical mediation.</w:t>
      </w:r>
    </w:p>
    <w:p>
      <w:pPr>
        <w:pStyle w:val="BodyText"/>
      </w:pPr>
      <w:r>
        <w:t xml:space="preserve">The novelty is deliberately bounded. This study does not claim to be the first to identify inconsistent irAE reporting. It builds on that literature and asks the next question: what happens to a real clinical comparison when endpoint definitions are treated as phenotype-defining rather than as interchangeable labels? The answer is that the conclusion changes. A broad TRAE phenotype suggests a solid-tumor-higher safety-burden contrast, whereas the strict organ-specific irAE phenotype is usually not estimable from public aggregate evidence. This distinction is clinically important because broad treatment-related toxicity and strict inflammatory irAE answer different questions.</w:t>
      </w:r>
    </w:p>
    <w:p>
      <w:pPr>
        <w:pStyle w:val="BodyText"/>
      </w:pPr>
      <w:r>
        <w:t xml:space="preserve">The lymphoma setting remains scientifically useful, but not as a simple immune-low comparator. Lymphoma is better treated as an immune-context remodeling use case. Tumor biology, immune-lineage origin, subtype heterogeneity, prior and concurrent treatment architecture and steroid-sensitive inflammatory programs may all influence the phenotype being measured. The current aggregate literature cannot isolate these factors causally, but it can show why future studies must measure them explicitly.</w:t>
      </w:r>
    </w:p>
    <w:p>
      <w:pPr>
        <w:pStyle w:val="BodyText"/>
      </w:pPr>
      <w:r>
        <w:t xml:space="preserve">For an ESMO Open readership, the practical implication is that cross-tumor ICI safety comparisons should specify the toxicity phenotype before estimating a contrast. Trial reports and evidence syntheses should distinguish broad high-grade treatment-related safety burden from strict organ-specific inflammatory irAE, and should separately report regimen architecture, timing windows, steroid exposure and endpoint attribution rules. Without these fields, aggregate analyses can give a clinically visible but biologically ambiguous answer.</w:t>
      </w:r>
    </w:p>
    <w:p>
      <w:pPr>
        <w:pStyle w:val="BodyText"/>
      </w:pPr>
      <w:r>
        <w:t xml:space="preserve">The study has important limitations. It uses aggregate public evidence and inherits heterogeneity in reporting, follow-up, source tier and endpoint terminology. Lymphoma evidence is sparse relative to solid-tumor evidence. Pooled high-grade treatment-related AE estimates have very high heterogeneity and are sensitivity-only. Organ-specific irAE inference is frequently blocked by sparse compatible rows. The original lymphoma/solid-tumor transcriptomic and methylprednisolone perturbation layers are not patient-linked toxicity analyses. The new external melanoma PBMC analysis is patient-level and irAE-linked, but it is tumor-type-specific, exploratory and not designed to estimate cross-lineage causal effects. Exploratory arm-level models are ecological and noncausal.</w:t>
      </w:r>
    </w:p>
    <w:p>
      <w:pPr>
        <w:pStyle w:val="BodyText"/>
      </w:pPr>
      <w:r>
        <w:t xml:space="preserve">These limitations define the boundary of the story. The evidence is sufficient to show that endpoint phenotype choice changes the clinical interpretation. It is not sufficient to claim intrinsic lineage causality, strict organ-specific irAE causality, exact chemotherapy-timing causality or clinical steroid mediation. The v2.8 external validation layer makes this requirement more concrete: public patient-level irAE-linked molecular data can test phenotype-specific immune correlates, but a definitive lymphoma-versus-solid study would still require target-trial emulation with harmonized organ-specific irAE adjudication, ICI class, regimen architecture, steroid timing/dose/duration, immune-context biomarkers and uniform follow-up.</w:t>
      </w:r>
    </w:p>
    <w:p>
      <w:pPr>
        <w:pStyle w:val="BodyText"/>
      </w:pPr>
      <w:r>
        <w:t xml:space="preserve">In conclusion, current aggregate ICI safety evidence supports a phenotype-dependent interpretation of lymphoma-versus-solid tumor toxicity. Solid-tumor arms show higher broad high-grade treatment-related AE burden in a heterogeneous sensitivity layer, whereas strict organ-specific inflammatory irAE comparisons are mostly not estimable. The central contribution is an empirical demonstration that ICI toxicity comparisons are conclusion-unstable unless the toxicity phenotype is specified.</w:t>
      </w:r>
    </w:p>
    <w:bookmarkEnd w:id="21"/>
    <w:bookmarkStart w:id="22" w:name="data-and-code-availability"/>
    <w:p>
      <w:pPr>
        <w:pStyle w:val="Heading2"/>
      </w:pPr>
      <w:r>
        <w:t xml:space="preserve">Data and Code Availability</w:t>
      </w:r>
    </w:p>
    <w:p>
      <w:pPr>
        <w:pStyle w:val="FirstParagraph"/>
      </w:pPr>
      <w:r>
        <w:t xml:space="preserve">This v2.9 submission-hardened version was generated from locked local files, scripted outputs and public GEO/Zenodo source metadata in</w:t>
      </w:r>
      <w:r>
        <w:t xml:space="preserve"> </w:t>
      </w:r>
      <w:r>
        <w:rPr>
          <w:rStyle w:val="VerbatimChar"/>
        </w:rPr>
        <w:t xml:space="preserve">/Users/guoxutao/ici_irAE_meta_review</w:t>
      </w:r>
      <w:r>
        <w:t xml:space="preserve">. The aggregate source registry, endpoint-compatible pooled estimates, organ-specific irAE compatibility audit, toxicity phenotype map, claim/reporting standard and patient-level validation outputs are listed in the Supplementary Materials Index. The patient-level external validation layer used GEO GSE186144/GSE186143. The steroid-response feasibility audit identified the UNICIT Zenodo release (10.5281/zenodo.16948925), but those data were not used to claim clinical steroid mediation. A public repository URL/DOI remains AUTHOR TO COMPLETE before final submission.</w:t>
      </w:r>
    </w:p>
    <w:bookmarkEnd w:id="22"/>
    <w:bookmarkStart w:id="23" w:name="X443dd3eea8aad8ef69efe1a89c319af1b9cec91"/>
    <w:p>
      <w:pPr>
        <w:pStyle w:val="Heading2"/>
      </w:pPr>
      <w:r>
        <w:t xml:space="preserve">Display Items and Supplementary Materials</w:t>
      </w:r>
    </w:p>
    <w:p>
      <w:pPr>
        <w:pStyle w:val="FirstParagraph"/>
      </w:pPr>
      <w:r>
        <w:t xml:space="preserve">The main display-item logic is intentionally organized around toxicity phenotypes rather than a single pooled irAE estimate. Figure 1 summarizes endpoint-phenotype conclusion instability across the aggregate evidence layer. Figure 2 displays endpoint-stratified clinical estimates only where pooling is appropriate and labels sensitivity-only strata. Figure 3 places exploratory arm-level model coefficients in a noncausal ecological frame. Figure 4 summarizes regimen-architecture-associated broad toxicity and marks the single ICI-before-chemotherapy stratum as not pooled. Figure 5 presents descriptive immune-context signatures without causal cross-cohort interpretation. Figure 6 combines steroid-sensitive inflammatory biology with the reporting-standard claim gate. Figure 7 provides the external patient-level melanoma irAE biomarker validation layer. Supplementary tables provide the locked source registry, pooled estimates, organ-specific compatibility audit, toxicity phenotype map, claim/reporting standard, patient-level metadata and patient-level signature associations.</w:t>
      </w:r>
    </w:p>
    <w:bookmarkEnd w:id="23"/>
    <w:bookmarkStart w:id="24" w:name="ethics-and-reporting"/>
    <w:p>
      <w:pPr>
        <w:pStyle w:val="Heading2"/>
      </w:pPr>
      <w:r>
        <w:t xml:space="preserve">Ethics and Reporting</w:t>
      </w:r>
    </w:p>
    <w:p>
      <w:pPr>
        <w:pStyle w:val="FirstParagraph"/>
      </w:pPr>
      <w:r>
        <w:t xml:space="preserve">This study used aggregate published or publicly accessible source information and public de-identified transcriptomic data. No new patient recruitment, intervention or access to identifiable individual data was performed by the authors in this analysis. Formal institutional review status or exemption wording remains AUTHOR TO CONFIRM before journal submission. Author names, affiliations, author contributions, funding, competing interests, guarantor and ORCID metadata remain AUTHOR TO COMPLETE.</w:t>
      </w:r>
    </w:p>
    <w:bookmarkEnd w:id="24"/>
    <w:bookmarkStart w:id="25" w:name="Xd1c18318a9b81f97e3dc44a7a4658b7e80b8ff1"/>
    <w:p>
      <w:pPr>
        <w:pStyle w:val="Heading2"/>
      </w:pPr>
      <w:r>
        <w:t xml:space="preserve">References to add or emphasize in the next formatted version</w:t>
      </w:r>
    </w:p>
    <w:p>
      <w:pPr>
        <w:pStyle w:val="FirstParagraph"/>
      </w:pPr>
      <w:r>
        <w:t xml:space="preserve">Chen et al., Annals of Oncology 2015; Xie et al., The Oncologist 2021; Hsiehchen et al., JAMA Network Open 2019; Naidoo et al., Journal for ImmunoTherapy of Cancer 2023; Khoja et al., Annals of Oncology 2017; Wang et al., Frontiers in Immunology 2022; Tapiavala et al., Frontiers in Oncology 2025; recent cancer- and treatment-specific irAE incidence reviews; Lozano et al., Nature Medicine 2022; van Eijs et al., Communications Medicine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2026-06-28T00:45:57Z</dcterms:created>
  <dcterms:modified xsi:type="dcterms:W3CDTF">2026-06-28T00:45:57Z</dcterms:modified>
</cp:coreProperties>
</file>

<file path=docProps/custom.xml><?xml version="1.0" encoding="utf-8"?>
<Properties xmlns="http://schemas.openxmlformats.org/officeDocument/2006/custom-properties" xmlns:vt="http://schemas.openxmlformats.org/officeDocument/2006/docPropsVTypes"/>
</file>