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3f7b5d562a44701e1743303d9e6ec4e8592114"/>
    <w:p>
      <w:pPr>
        <w:pStyle w:val="Heading1"/>
      </w:pPr>
      <w:r>
        <w:t xml:space="preserve">Endpoint-Defined Immune Checkpoint Inhibitor Toxicity Phenotypes Across Lymphoma and Solid Tumors: A Translational Evidence Analysis</w:t>
      </w:r>
    </w:p>
    <w:bookmarkStart w:id="9" w:name="abstract"/>
    <w:p>
      <w:pPr>
        <w:pStyle w:val="Heading2"/>
      </w:pPr>
      <w:r>
        <w:t xml:space="preserve">Abstract</w:t>
      </w:r>
    </w:p>
    <w:p>
      <w:pPr>
        <w:pStyle w:val="FirstParagraph"/>
      </w:pPr>
      <w:r>
        <w:t xml:space="preserve">Immune checkpoint inhibitor (ICI) toxicity is often compared across tumor settings as if it were a single outcome, yet published safety endpoints capture different clinical phenotypes. We used lymphoma versus solid-tumor ICI toxicity as a clinical stress test and combined three evidence layers: a locked aggregate source registry with endpoint taxonomy, an organ-specific strict immune-related adverse event (irAE) estimability audit, and an external patient-level irAE-linked melanoma PBMC RNA-seq validation cohort. The registry contained 384 endpoint-labelled rows across 36 study/source blocks; 71 rows were endpoint-compatible for primary pooling and 313 were sensitivity, audit or context evidence. Broad high-grade treatment-related adverse events showed a visible but heterogeneous sensitivity-only contrast: lymphoma 19.1% (95% CI 6.1-46.4; prediction interval 1.4-80.2; k=4; events=75/N=462; I2=95.2%) versus solid tumors 31.1% (95% CI 20.2-44.6; prediction interval 4.7-80.5; k=14; events=2237/N=5130; I2=98.7%). In contrast, organ-specific strict irAE inference was mostly not estimable, with 18 of 23 organ-by-grade strata unsuitable for lineage-wide pooling. In patient-level melanoma PBMC data, severe irAE status was associated with FDR-significant immune signatures in 21 severe versus 39 grade 0-2 samples, including cytotoxicity, TAM/M2-like inflammation, MHC-II antigen presentation and B-cell context. These findings support toxicity phenotype decomposition: current public evidence shows phenotype-dependent interpretation of ICI toxicity differences, not intrinsic lymphoma-versus-solid lineage causality.</w:t>
      </w:r>
    </w:p>
    <w:bookmarkEnd w:id="9"/>
    <w:bookmarkStart w:id="10" w:name="introduction"/>
    <w:p>
      <w:pPr>
        <w:pStyle w:val="Heading2"/>
      </w:pPr>
      <w:r>
        <w:t xml:space="preserve">Introduction</w:t>
      </w:r>
    </w:p>
    <w:p>
      <w:pPr>
        <w:pStyle w:val="FirstParagraph"/>
      </w:pPr>
      <w:r>
        <w:t xml:space="preserve">ICI safety evidence is clinically important but endpoint-fragmented. Trial reports and source documents may use strict irAE, immune-mediated AE, adverse event of special interest, treatment-related AE, selected AE, registry signal or regulatory safety language. These categories are often discussed as toxicity, but they do not measure the same phenotype. Broad high-grade treatment-related AE captures regimen-level safety burden. Strict organ-specific irAE captures inflammatory toxicity with organ attribution. Treatment architecture describes exposure context. Transcriptomic and perturbation data address biological plausibility. Treating these layers as a single incidence endpoint can make a clinical comparison appear more definitive than the evidence allows.</w:t>
      </w:r>
    </w:p>
    <w:p>
      <w:pPr>
        <w:pStyle w:val="BodyText"/>
      </w:pPr>
      <w:r>
        <w:t xml:space="preserve">The lymphoma-versus-solid tumor comparison is a useful test case because it is clinically plausible and biologically tempting, but it is vulnerable to endpoint definition, regimen architecture, immune-context remodeling and source-tier structure. The purpose of this study was not to prove an intrinsic lineage toxicity effect. Instead, we asked whether the clinical answer changes when ICI toxicity is decomposed into endpoint-defined phenotypes.</w:t>
      </w:r>
    </w:p>
    <w:p>
      <w:pPr>
        <w:pStyle w:val="BodyText"/>
      </w:pPr>
      <w:r>
        <w:t xml:space="preserve">We therefore performed an endpoint-stratified translational evidence analysis. The study links an aggregate source registry, endpoint-compatible pooled estimates where justified, a strict organ-specific irAE estimability audit and an external patient-level irAE-linked transcriptomic validation layer. The goal was to determine what can be estimated from public aggregate evidence, what remains sensitivity-only or non-estimable, and whether patient-level molecular data support the premise that toxicity phenotypes are biologically measurable when harmonized irAE labels exist.</w:t>
      </w:r>
    </w:p>
    <w:bookmarkEnd w:id="10"/>
    <w:bookmarkStart w:id="16" w:name="methods"/>
    <w:p>
      <w:pPr>
        <w:pStyle w:val="Heading2"/>
      </w:pPr>
      <w:r>
        <w:t xml:space="preserve">Methods</w:t>
      </w:r>
    </w:p>
    <w:bookmarkStart w:id="11" w:name="Xe42b2431796b28dcd528f6d9ce45b817a86f878"/>
    <w:p>
      <w:pPr>
        <w:pStyle w:val="Heading3"/>
      </w:pPr>
      <w:r>
        <w:t xml:space="preserve">Aggregate evidence registry and source flow</w:t>
      </w:r>
    </w:p>
    <w:p>
      <w:pPr>
        <w:pStyle w:val="FirstParagraph"/>
      </w:pPr>
      <w:r>
        <w:t xml:space="preserve">We used a locked source registry of ICI safety evidence. The extracted unit was a source row nested within a study/source block. Each row captured study/source name, tumor lineage, tumor type, lymphoma subtype when available, regimen, ICI agent and class, chemotherapy context, timing architecture, steroid-core regimen status, source endpoint label, endpoint taxonomy, safety denominator, event count, grade, source tier, quantitative role and eligibility for primary pooling. A PRISMA-style source-flow summary was generated for transparency, but the study was not treated as a conventional single-endpoint systematic review because the source layer intentionally contained non-exchangeable endpoint phenotypes.</w:t>
      </w:r>
    </w:p>
    <w:bookmarkEnd w:id="11"/>
    <w:bookmarkStart w:id="12" w:name="X8a17dd62a20e6ba656697aa3b2283d38fa68930"/>
    <w:p>
      <w:pPr>
        <w:pStyle w:val="Heading3"/>
      </w:pPr>
      <w:r>
        <w:t xml:space="preserve">Endpoint taxonomy and phenotype definitions</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 classes were analyzed separately rather than collapsed into one omnibus toxicity estimate. Endpoint-compatible pooled estimates were retained only where source labels, denominators, grade thresholds and quantitative role supported exchangeability. High-grade treatment-related AE was interpreted as broad safety burden, not as strict inflammatory irAE.</w:t>
      </w:r>
    </w:p>
    <w:bookmarkEnd w:id="12"/>
    <w:bookmarkStart w:id="13" w:name="X7d682816ce91d0b9c56bf53dbc5f76f7dcd8aeb"/>
    <w:p>
      <w:pPr>
        <w:pStyle w:val="Heading3"/>
      </w:pPr>
      <w:r>
        <w:t xml:space="preserve">Clinical synthesis and organ-specific estimability</w:t>
      </w:r>
    </w:p>
    <w:p>
      <w:pPr>
        <w:pStyle w:val="FirstParagraph"/>
      </w:pPr>
      <w:r>
        <w:t xml:space="preserve">Endpoint-compatible random-effects estimates were taken from locked clinical synthesis outputs. Strata with k&lt;2, incompatible endpoint labels or inadequate source/lineage coverage were labelled not estimable or sensitivity-only. Organ-specific strict irAE inference was evaluated by organ system and grade threshold, with each stratum assessed for strict irAE rows, primary-compatible rows, lineage coverage, source blocks, source tiers and lineage-wide pooling status.</w:t>
      </w:r>
    </w:p>
    <w:bookmarkEnd w:id="13"/>
    <w:bookmarkStart w:id="14" w:name="X9f94dfc5d010c804a50495976ea9b0b81d5248a"/>
    <w:p>
      <w:pPr>
        <w:pStyle w:val="Heading3"/>
      </w:pPr>
      <w:r>
        <w:t xml:space="preserve">Patient-level irAE-linked transcriptomic validation</w:t>
      </w:r>
    </w:p>
    <w:p>
      <w:pPr>
        <w:pStyle w:val="FirstParagraph"/>
      </w:pPr>
      <w:r>
        <w:t xml:space="preserve">The external validation layer used the public Lozano/GSE186144-GSE186143 melanoma checkpoint-blockade PBMC bulk RNA-seq cohort. GEO metadata were parsed for patient identifier, diagnosis, therapy type and highest irAE grade. The bulk TPM matrix was processed as log2(TPM+1). Healthy controls and melanoma samples without irAE grade were excluded. Severe irAE was defined as highest grade &gt;=3 and compared with grade 0-2. Locked immune signatures were scored as average gene-wise z-scores. Median severe-minus-non-severe deltas, bootstrap confidence intervals, Mann-Whitney tests, Benjamini-Hochberg FDR q values, Cliff’s delta, leave-one-sample influence and therapy-type descriptive sensitivity were generated. This layer was specified as patient-level validation of phenotype decomposability, not lymphoma-versus-solid causal evidence and not steroid mediation.</w:t>
      </w:r>
    </w:p>
    <w:bookmarkEnd w:id="14"/>
    <w:bookmarkStart w:id="15" w:name="interpretation-standard"/>
    <w:p>
      <w:pPr>
        <w:pStyle w:val="Heading3"/>
      </w:pPr>
      <w:r>
        <w:t xml:space="preserve">Interpretation standard</w:t>
      </w:r>
    </w:p>
    <w:p>
      <w:pPr>
        <w:pStyle w:val="FirstParagraph"/>
      </w:pPr>
      <w:r>
        <w:t xml:space="preserve">We converted the earlier internal claim gate into a toxicity phenotype interpretation standard. For each phenotype class, the standard specifies minimum endpoint requirements, allowed inference, forbidden inference and future reporting fields required for stronger patient-level studies.</w:t>
      </w:r>
    </w:p>
    <w:bookmarkEnd w:id="15"/>
    <w:bookmarkEnd w:id="16"/>
    <w:bookmarkStart w:id="23" w:name="results"/>
    <w:p>
      <w:pPr>
        <w:pStyle w:val="Heading2"/>
      </w:pPr>
      <w:r>
        <w:t xml:space="preserve">Results</w:t>
      </w:r>
    </w:p>
    <w:bookmarkStart w:id="17" w:name="X5d9168c174c4734dbb0b5bbf12d516bbd8e062f"/>
    <w:p>
      <w:pPr>
        <w:pStyle w:val="Heading3"/>
      </w:pPr>
      <w:r>
        <w:t xml:space="preserve">Source flow showed that public ICI safety evidence contains multiple toxicity phenotypes</w:t>
      </w:r>
    </w:p>
    <w:p>
      <w:pPr>
        <w:pStyle w:val="FirstParagraph"/>
      </w:pPr>
      <w:r>
        <w:t xml:space="preserve">The locked registry contained 384 rows across 36 study/source blocks. Only 71 rows were endpoint-compatible for primary pooling, while 313 rows were retained as sensitivity, audit or context evidence. This structure shows that the public literature does not report a single ICI toxicity outcome. It reports multiple endpoint-defined toxicity phenotypes that require separate interpretation.</w:t>
      </w:r>
    </w:p>
    <w:bookmarkEnd w:id="17"/>
    <w:bookmarkStart w:id="18" w:name="Xc1b53a07eb3f82c33e3369762a4a17552587aaa"/>
    <w:p>
      <w:pPr>
        <w:pStyle w:val="Heading3"/>
      </w:pPr>
      <w:r>
        <w:t xml:space="preserve">Broad high-grade treatment-related toxicity showed a visible but heterogeneous sensitivity-only contrast</w:t>
      </w:r>
    </w:p>
    <w:p>
      <w:pPr>
        <w:pStyle w:val="FirstParagraph"/>
      </w:pPr>
      <w:r>
        <w:t xml:space="preserve">For broad high-grade treatment-related AE, lymphoma arms had a pooled rate of 19.1% (95% CI 6.1-46.4; prediction interval 1.4-80.2; k=4; events=75/N=462; I2=95.2%). Solid-tumor arms had a pooled rate of 31.1% (95% CI 20.2-44.6; prediction interval 4.7-80.5; k=14; events=2237/N=5130; I2=98.7%). The contrast is clinically visible, but it is sensitivity-only because high-grade treatment-related AE is a broad safety-burden phenotype that includes non-inflammatory and regimen-specific toxicity.</w:t>
      </w:r>
    </w:p>
    <w:bookmarkEnd w:id="18"/>
    <w:bookmarkStart w:id="19" w:name="X735915c59fb6f7f8bab98998199a8cfec935c8e"/>
    <w:p>
      <w:pPr>
        <w:pStyle w:val="Heading3"/>
      </w:pPr>
      <w:r>
        <w:t xml:space="preserve">Strict organ-specific inflammatory irAE comparisons were mostly not estimable</w:t>
      </w:r>
    </w:p>
    <w:p>
      <w:pPr>
        <w:pStyle w:val="FirstParagraph"/>
      </w:pPr>
      <w:r>
        <w:t xml:space="preserve">The organ-specific audit identified 341 organ-specific rows, 99 strict irAE rows and 53 primary-compatible organ-specific strict irAE rows. Across 23 organ-by-grade strata, 18 were not suitable for lineage-wide pooling. This is a key negative result: public aggregate evidence can describe broad safety burden, but it usually cannot estimate the organ-specific strict irAE lineage contrast clinicians would need for causal interpretation.</w:t>
      </w:r>
    </w:p>
    <w:bookmarkEnd w:id="19"/>
    <w:bookmarkStart w:id="20" w:name="X4e5c25c8d8c252da8f710ac7d236c6471ce2fe9"/>
    <w:p>
      <w:pPr>
        <w:pStyle w:val="Heading3"/>
      </w:pPr>
      <w:r>
        <w:t xml:space="preserve">Regimen architecture defined a separate broad-toxicity phenotype</w:t>
      </w:r>
    </w:p>
    <w:p>
      <w:pPr>
        <w:pStyle w:val="FirstParagraph"/>
      </w:pPr>
      <w:r>
        <w:t xml:space="preserve">Architecture-stratified broad high-grade treatment-related AE supported a separate exposure-context phenotype. Concurrent chemotherapy-ICI context had a pooled rate of 58.9% (95% CI 44.0-72.4; k=5), whereas no-cytotoxic-chemotherapy context had a pooled rate of 17.0% (95% CI 10.2-26.9; k=12). The ICI-before-chemotherapy category was not pooled because only one compatible arm was available. These data support architecture-aware interpretation of broad toxicity burden, not exact timing causality.</w:t>
      </w:r>
    </w:p>
    <w:bookmarkEnd w:id="20"/>
    <w:bookmarkStart w:id="21" w:name="X08a371e7cfc661eac64e44d213137f320b64f64"/>
    <w:p>
      <w:pPr>
        <w:pStyle w:val="Heading3"/>
      </w:pPr>
      <w:r>
        <w:t xml:space="preserve">Patient-level severe-irAE transcriptomes supported biological measurability of toxicity phenotypes</w:t>
      </w:r>
    </w:p>
    <w:p>
      <w:pPr>
        <w:pStyle w:val="FirstParagraph"/>
      </w:pPr>
      <w:r>
        <w:t xml:space="preserve">The external patient-level validation cohort contained 60 melanoma PBMC bulk RNA-seq samples with usable highest irAE grade labels: 21 severe irAE samples and 39 grade 0-2 samples. Across 11 locked signatures, 4 remained significant at FDR &lt;0.05. The leading severe-irAE-associated signatures were cytotoxicity (median delta 0.664; 95% bootstrap CI 0.190 to 1.200; FDR q=0.0213; Cliff’s delta 0.451), tam m2 (median delta 0.613; 95% bootstrap CI 0.232 to 1.073; FDR q=0.0213; Cliff’s delta 0.448), antigen presentation mhc2 (median delta 0.754; 95% bootstrap CI -0.011 to 1.402; FDR q=0.0213; Cliff’s delta 0.436) and b cell context (median delta 0.522; 95% bootstrap CI 0.077 to 1.010; FDR q=0.0362; Cliff’s delta 0.392). Leave-one-sample analysis did not reverse the severe-minus-non-severe direction for any signature. Therapy-type sensitivity was descriptive only because severe events were concentrated in the combination-treatment subgroup and anti-PD-1 severe-irAE counts were sparse.</w:t>
      </w:r>
    </w:p>
    <w:p>
      <w:pPr>
        <w:pStyle w:val="BodyText"/>
      </w:pPr>
      <w:r>
        <w:t xml:space="preserve">These patient-level results strengthen the translational interpretation. They do not solve the lymphoma-versus-solid causal question, but they show that when sample-level irAE labels and molecular profiles are jointly available, severe irAE phenotypes have measurable immune correlates.</w:t>
      </w:r>
    </w:p>
    <w:bookmarkEnd w:id="21"/>
    <w:bookmarkStart w:id="22" w:name="X5a2edf2f63636f19716f47f73644917951d48b9"/>
    <w:p>
      <w:pPr>
        <w:pStyle w:val="Heading3"/>
      </w:pPr>
      <w:r>
        <w:t xml:space="preserve">The interpretation standard defines what future studies must report</w:t>
      </w:r>
    </w:p>
    <w:p>
      <w:pPr>
        <w:pStyle w:val="FirstParagraph"/>
      </w:pPr>
      <w:r>
        <w:t xml:space="preserve">The toxicity phenotype interpretation standard separates broad high-grade treatment-related safety burden, strict global inflammatory labels, organ-specific inflammatory irAE, regimen-architecture-associated toxicity, patient-level severe-irAE biomarker phenotypes and steroid-sensitive inflammatory programs. Each phenotype requires different endpoint fields and supports different inference. Future definitive studies require patient-level tumor type, ICI class, regimen architecture, time zero, organ-specific irAE adjudication, onset date, grade, steroid timing/dose/duration, immune-context biomarkers and uniform follow-up.</w:t>
      </w:r>
    </w:p>
    <w:bookmarkEnd w:id="22"/>
    <w:bookmarkEnd w:id="23"/>
    <w:bookmarkStart w:id="24" w:name="discussion"/>
    <w:p>
      <w:pPr>
        <w:pStyle w:val="Heading2"/>
      </w:pPr>
      <w:r>
        <w:t xml:space="preserve">Discussion</w:t>
      </w:r>
    </w:p>
    <w:p>
      <w:pPr>
        <w:pStyle w:val="FirstParagraph"/>
      </w:pPr>
      <w:r>
        <w:t xml:space="preserve">This secondary translational evidence analysis shows that cross-tumor ICI toxicity conclusions are phenotype-dependent. A broad high-grade treatment-related AE phenotype showed a visible but heterogeneous solid-tumor-higher safety-burden contrast, whereas strict organ-specific inflammatory irAE comparisons were mostly not estimable from current public aggregate evidence. Patient-level melanoma PBMC data then showed that severe irAE can have measurable immune-signature correlates when harmonized toxicity labels exist. Together, these layers support ICI toxicity phenotype decomposition as a useful clinical and translational concept.</w:t>
      </w:r>
    </w:p>
    <w:p>
      <w:pPr>
        <w:pStyle w:val="BodyText"/>
      </w:pPr>
      <w:r>
        <w:t xml:space="preserve">The main contribution is not another irAE incidence meta-analysis. The study shows why a single lymphoma-versus-solid tumor toxicity question breaks into distinct estimands. Broad high-grade treatment-related AE, strict inflammatory irAE, organ-specific irAE, architecture-associated toxicity and patient-level immune-correlate phenotypes are not interchangeable. This distinction matters because each phenotype has different clinical meaning, different bias structure and different data requirements.</w:t>
      </w:r>
    </w:p>
    <w:p>
      <w:pPr>
        <w:pStyle w:val="BodyText"/>
      </w:pPr>
      <w:r>
        <w:t xml:space="preserve">The patient-level validation layer changes the manuscript from a purely defensive endpoint-audit exercise into a translational evidence study. It demonstrates that toxicity phenotypes are not merely semantic categories; at least one phenotype, severe irAE, can be linked to measurable immune programs in public patient-level data. However, this validation is melanoma-specific and exploratory, and severe irAE events were not distributed evenly across therapy types. It should therefore be interpreted as external plausibility and phenotype validation, not as a cross-lineage causal estimate.</w:t>
      </w:r>
    </w:p>
    <w:p>
      <w:pPr>
        <w:pStyle w:val="BodyText"/>
      </w:pPr>
      <w:r>
        <w:t xml:space="preserve">Several claims remain blocked by design. The evidence does not support intrinsic lymphoma-versus-solid lineage causality, definitive organ-specific strict irAE lineage effects, causal inference about chemotherapy sequence, or clinical steroid mediation. The methylprednisolone perturbation layer supports steroid-sensitive inflammatory biology, but clinical mediation would require patient-level steroid timing, dose, indication and irAE outcome data.</w:t>
      </w:r>
    </w:p>
    <w:p>
      <w:pPr>
        <w:pStyle w:val="BodyText"/>
      </w:pPr>
      <w:r>
        <w:t xml:space="preserve">For clinical trial reporting and evidence synthesis, the practical implication is straightforward: ICI toxicity comparisons should specify the toxicity phenotype before estimating a contrast. Reports should provide endpoint definition, attribution rules, grade threshold, organ system, timing window, safety denominator, regimen architecture, ICI class, steroid exposure and follow-up. Without these fields, aggregate analyses can identify broad safety-burden patterns but cannot adjudicate the stricter inflammatory or causal questions.</w:t>
      </w:r>
    </w:p>
    <w:p>
      <w:pPr>
        <w:pStyle w:val="BodyText"/>
      </w:pPr>
      <w:r>
        <w:t xml:space="preserve">In conclusion, current public evidence supports phenotype-dependent interpretation of ICI toxicity across lymphoma and solid tumors. Broad high-grade treatment-related toxicity differs in a heterogeneous sensitivity layer, strict organ-specific irAE comparisons are mostly not estimable, and patient-level irAE-linked transcriptomic data show that severe-irAE phenotypes can have measurable immune correlates. The appropriate conclusion is not intrinsic lineage causality, but a toxicity phenotype decomposition model for future patient-level clinical and mechanistic studies.</w:t>
      </w:r>
    </w:p>
    <w:bookmarkEnd w:id="24"/>
    <w:bookmarkStart w:id="25" w:name="data-and-code-availability"/>
    <w:p>
      <w:pPr>
        <w:pStyle w:val="Heading2"/>
      </w:pPr>
      <w:r>
        <w:t xml:space="preserve">Data and Code Availability</w:t>
      </w:r>
    </w:p>
    <w:p>
      <w:pPr>
        <w:pStyle w:val="FirstParagraph"/>
      </w:pPr>
      <w:r>
        <w:t xml:space="preserve">This v3.0 version was generated from locked local files and public source data in</w:t>
      </w:r>
      <w:r>
        <w:t xml:space="preserve"> </w:t>
      </w:r>
      <w:r>
        <w:rPr>
          <w:rStyle w:val="VerbatimChar"/>
        </w:rPr>
        <w:t xml:space="preserve">/Users/guoxutao/ici_irAE_meta_review</w:t>
      </w:r>
      <w:r>
        <w:t xml:space="preserve">. The aggregate source registry, endpoint-compatible pooled estimates, organ-specific irAE compatibility audit, toxicity phenotype interpretation standard and patient-level validation outputs are listed in the Supplementary Materials Index. The patient-level external validation layer used GEO GSE186144/GSE186143. Public repository URL/DOI remains AUTHOR TO COMPLETE before final submission.</w:t>
      </w:r>
    </w:p>
    <w:bookmarkEnd w:id="25"/>
    <w:bookmarkStart w:id="26" w:name="ethics-and-reporting"/>
    <w:p>
      <w:pPr>
        <w:pStyle w:val="Heading2"/>
      </w:pPr>
      <w:r>
        <w:t xml:space="preserve">Ethics and Reporting</w:t>
      </w:r>
    </w:p>
    <w:p>
      <w:pPr>
        <w:pStyle w:val="FirstParagraph"/>
      </w:pPr>
      <w:r>
        <w:t xml:space="preserve">This study used aggregate published or publicly accessible source information and public de-identified transcriptomic data. No new patient recruitment, intervention or access to identifiable individual data was performed by the authors in this analysis. Formal institutional review status or exemption wording remains AUTHOR TO CONFIRM before journal submission. Author names, affiliations, author contributions, funding, competing interests, guarantor and ORCID metadata remain AUTHOR TO COMPLETE.</w:t>
      </w:r>
    </w:p>
    <w:bookmarkEnd w:id="26"/>
    <w:bookmarkStart w:id="27" w:name="references-to-finalize"/>
    <w:p>
      <w:pPr>
        <w:pStyle w:val="Heading2"/>
      </w:pPr>
      <w:r>
        <w:t xml:space="preserve">References to finalize</w:t>
      </w:r>
    </w:p>
    <w:p>
      <w:pPr>
        <w:pStyle w:val="FirstParagraph"/>
      </w:pPr>
      <w:r>
        <w:t xml:space="preserve">References should include prior irAE reporting-quality and terminology work, ICI irAE systematic reviews, ESMO/ASCO/SITC irAE guidance where appropriate, the pivotal trial/source documents in the locked registry, Lozano et al. Nature Medicine 2022/GSE186144-GSE186143 and van Eijs et al. Communications Medicine 2025/UNICIT where discussed. Final Vancouver-style formatting remains AUTHOR TO COMPLETE.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2026-06-28T01:08:03Z</dcterms:created>
  <dcterms:modified xsi:type="dcterms:W3CDTF">2026-06-28T01:08:03Z</dcterms:modified>
</cp:coreProperties>
</file>

<file path=docProps/custom.xml><?xml version="1.0" encoding="utf-8"?>
<Properties xmlns="http://schemas.openxmlformats.org/officeDocument/2006/custom-properties" xmlns:vt="http://schemas.openxmlformats.org/officeDocument/2006/docPropsVTypes"/>
</file>