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Cross-Tumor Immune Checkpoint Inhibitor Toxicity Comparisons Are Not Supported by Current Evidence: A Four-System Phenotype Decomposition Analysis</w:t>
      </w:r>
    </w:p>
    <w:p>
      <w:r>
        <w:t>Short title: Cross-tumor ICI toxicity comparisons are not supported by current evidence</w:t>
      </w:r>
    </w:p>
    <w:p>
      <w:r>
        <w:t>Junwei Huang†, Xiaolei Wei†, Haiqing Zheng†, Qi Wei, Yongqiang Wei, Ru Feng, Xutao Guo*</w:t>
      </w:r>
    </w:p>
    <w:p>
      <w:r>
        <w:t>1 Department of Hematology, Nanfang Hospital, Southern Medical University, Guangzhou, China</w:t>
      </w:r>
    </w:p>
    <w:p>
      <w:r>
        <w:t>2 Department of Nosocomial Infection Management, Nanfang Hospital, Southern Medical University, Guangzhou, China</w:t>
      </w:r>
    </w:p>
    <w:p>
      <w:r>
        <w:t>3 Clinical Medical Research Center of Hematological Diseases of Guangdong Province, Guangzhou, China</w:t>
      </w:r>
    </w:p>
    <w:p>
      <w:r>
        <w:t>† Equal contribution. * Correspondence: guoxutao@smu.edu.cn</w:t>
      </w:r>
    </w:p>
    <w:p>
      <w:pPr>
        <w:pStyle w:val="Heading2"/>
      </w:pPr>
      <w:r>
        <w:t>Abstract</w:t>
      </w:r>
    </w:p>
    <w:p>
      <w:r>
        <w:t>Background: Immune checkpoint inhibitor (ICI) toxicity is routinely compared across tumor types—in tumor boards, meta-analyses, and regulatory discussions—yet these comparisons rarely specify which endpoint is being measured. Methods: Using lymphoma versus solid-tumor ICI safety as a clinical stress test, we audited four evidence types commonly invoked in cross-tumor comparisons: (1) a locked aggregate source registry of 384 endpoint-labelled rows across 36 source blocks; (2) an organ-specific strict irAE estimability audit across 23 organ-by-grade strata; (3) an exact-match openFDA pharmacovigilance analysis (10 ICI agents, 8 irAE families, 80 agent-family ROR cells); and (4) an external melanoma PBMC molecular-support cohort (GSE186144, 60 samples, 11 immune signatures). Results: Of 384 source rows, only 71 were endpoint-compatible for primary pooling. Broad high-grade treatment-related adverse events showed wide, overlapping prediction intervals (lymphoma 19.1%, 95% CI 6.1–46.4, PI 1.4–80.2 vs. solid tumors 31.1%, 95% CI 20.2–44.6, PI 4.7–80.5). Eighteen of 23 organ-by-grade strict irAE strata were unsuitable for lineage-wide pooling. openFDA reporting signals could not be mapped to tumor type because spontaneous reporting databases do not capture exposed-patient denominators by indication. Four unadjusted FDR-significant immune signatures in the PBMC cohort became zero after therapy adjustment, and the cohort was single-tumor-type. Conclusions: The four evidence systems most commonly used in cross-tumor ICI toxicity discussions cannot substitute for one another. None supports reliable cross-tumor inference with currently available public data. Investigators should specify the toxicity phenotype and verify that the evidence system supports the comparison before drawing cross-tumor conclusions. A phenotype interpretation standard is provided to guide this verification.</w:t>
      </w:r>
    </w:p>
    <w:p>
      <w:pPr>
        <w:pStyle w:val="Heading2"/>
      </w:pPr>
      <w:r>
        <w:t>Introduction</w:t>
      </w:r>
    </w:p>
    <w:p>
      <w:r>
        <w:t>A physician at a multi-disciplinary tumor board compares pembrolizumab toxicity in relapsed classical Hodgkin lymphoma—her own patient—with toxicity data from the KEYNOTE-006 melanoma safety table. KEYNOTE-006 reports adverse events of special interest selected for likely immune etiology. The Hodgkin lymphoma data come from KEYNOTE-087, which reports treatment-related adverse events without immune attribution. She concludes that pembrolizumab is less toxic in lymphoma. Her conclusion is clinically intuitive. It is also wrong—not because the biology is necessarily wrong, but because the two numbers are not the same measurement. Such comparisons happen tens of thousands of times each year in tumor boards, guidelines committees, meta-analyses, and drug development discussions.</w:t>
      </w:r>
    </w:p>
    <w:p>
      <w:r>
        <w:t>This problem extends beyond any single tumor-type comparison. Across oncology, physicians, systematic reviewers, and drug developers routinely compare ICI toxicity across tumor types. Published meta-analyses claim that ICI toxicity "differs by tumor type" without controlling for endpoint class [representative examples reviewed in source registry]. ESMO, ASCO, and SITC guidelines [35–37] discuss ICI toxicity as a class effect, inviting cross-tumor extrapolation. Key opinion leaders present cross-tumor safety comparisons at major meetings. These comparisons influence treatment selection, patient counseling, clinical trial design, and regulatory strategy—yet the endpoint being measured is almost never specified.</w:t>
      </w:r>
    </w:p>
    <w:p>
      <w:r>
        <w:t>The underlying problem is structural. Published safety evidence is not a homogeneous pool. Trial reports contain at least nine endpoint classes: strict irAE, immune-mediated adverse events, adverse events of special interest, treatment-related adverse events, selected adverse events, regulatory adverse reaction rows, ClinicalTrials.gov registry terms, post-hoc immune-mediated analyses, and pooled-label safety summaries. These endpoints differ in attribution rules, grade thresholds, MedDRA coding, and denominators. A strict irAE requires investigator attribution of immune causality. A TRAE requires attribution to any study drug, including chemotherapy. A selected adverse event is chosen by the sponsor without uniform criteria. An openFDA reporting odds ratio comes from spontaneous reports without exposed-patient denominators. A peripheral blood transcriptional signature estimates no clinical incidence at all. When these classes are grouped into a single "toxicity" outcome and compared across tumor types, the comparison may measure endpoint taxonomy, not biology.</w:t>
      </w:r>
    </w:p>
    <w:p>
      <w:r>
        <w:t>Lymphoma versus solid tumors provides a useful stress test because the comparison is clinically plausible, frequently performed, and vulnerable to misinterpretation—and because the evidence architecture differs enough between the two settings to make the measurement problem visible. If the comparison breaks down here, it likely breaks down elsewhere. Rather than asking whether ICI is more toxic in lymphoma or solid tumors, we asked a prior question: can the four evidence systems most commonly used in cross-tumor ICI toxicity discussions answer the question? Across all four systems, the answer was no.</w:t>
      </w:r>
    </w:p>
    <w:p>
      <w:pPr>
        <w:pStyle w:val="Heading2"/>
      </w:pPr>
      <w:r>
        <w:t>Methods</w:t>
      </w:r>
    </w:p>
    <w:p>
      <w:pPr>
        <w:pStyle w:val="Heading3"/>
      </w:pPr>
      <w:r>
        <w:t>Study design</w:t>
      </w:r>
    </w:p>
    <w:p>
      <w:r>
        <w:t>An endpoint-stratified translational evidence audit examined four evidence layers representing four distinct information types routinely invoked in cross-tumor ICI toxicity discussions: (1) Aggregate clinical source registry: What happens when published safety numbers are pooled across tumor types? (2) Organ-specific strict irAE estimability audit: Can organ-level inflammatory toxicity differences be estimated? (3) openFDA pharmacovigilance analysis: Can spontaneous reporting databases substitute for missing trial data? (4) Patient-level PBMC molecular support: Can immune signatures from one tumor type support general claims? The study used locked source files and public data. No new patient data were collected.</w:t>
      </w:r>
    </w:p>
    <w:p>
      <w:pPr>
        <w:pStyle w:val="Heading3"/>
      </w:pPr>
      <w:r>
        <w:t>Aggregate source registry</w:t>
      </w:r>
    </w:p>
    <w:p>
      <w:r>
        <w:t>A prespecified source registry of 384 rows across 36 source blocks was built from pivotal ICI trial reports, appendices, regulatory documents, trial registries, post-hoc reports, and public molecular datasets. Each row captured study name, trial identifier, tumor lineage, tumor type, regimen, ICI agent and class, chemotherapy context, endpoint label, endpoint taxonomy, safety denominator, event count, rate, grade, source tier, and quantitative role. Extraction was performed by one analyst with computational audits; absence of independent dual extraction is a limitation.</w:t>
      </w:r>
    </w:p>
    <w:p>
      <w:pPr>
        <w:pStyle w:val="Heading3"/>
      </w:pPr>
      <w:r>
        <w:t>Endpoint taxonomy</w:t>
      </w:r>
    </w:p>
    <w:p>
      <w:r>
        <w:t>Rows were classified into nine endpoint classes: strict irAE, immune-mediated AE/imAE, AEOSI, TRAE, selected AE sensitivity, regulatory sensitivity, registry audit only, subgroup/post-hoc sensitivity, or context only. Only rows with compatible endpoint labels, grade thresholds, denominators, and quantitative roles entered primary pooling (71 rows). The remaining 313 rows were retained as sensitivity, audit, or context evidence.</w:t>
      </w:r>
    </w:p>
    <w:p>
      <w:pPr>
        <w:pStyle w:val="Heading3"/>
      </w:pPr>
      <w:r>
        <w:t>Clinical synthesis</w:t>
      </w:r>
    </w:p>
    <w:p>
      <w:r>
        <w:t>Endpoint-compatible pooled estimates used random-effects meta-analysis with REML estimation. Reported metrics: k, total events, total denominator, pooled rate, 95% CI, prediction interval, I².</w:t>
      </w:r>
    </w:p>
    <w:p>
      <w:pPr>
        <w:pStyle w:val="Heading3"/>
      </w:pPr>
      <w:r>
        <w:t>Organ-specific strict irAE estimability audit</w:t>
      </w:r>
    </w:p>
    <w:p>
      <w:r>
        <w:t>Twenty-three organ-by-grade strata were audited for rows, strict irAE rows, primary-compatible rows, source blocks per lineage, source tiers, endpoint layers, and source concentration. A stratum was labelled "not estimable" when it lacked compatible strict irAE rows, had fewer than two independent source blocks in at least one lineage, or suffered from sparse rows, source concentration, or incompatible endpoint layers.</w:t>
      </w:r>
    </w:p>
    <w:p>
      <w:pPr>
        <w:pStyle w:val="Heading3"/>
      </w:pPr>
      <w:r>
        <w:t>openFDA pharmacovigilance layer</w:t>
      </w:r>
    </w:p>
    <w:p>
      <w:r>
        <w:t>The openFDA drug/event API was queried on 2026-06-28 [38] using locked agent aliases and irAE preferred-term families (10 ICI agents, 8 reporting families). Matching was exact, with no primary-suspect restriction. 2×2 ROR with 0.5 continuity correction; no multiplicity adjustment. Cells with &lt;10 reports flagged as unstable. Report-level records analyzed as returned by API; no additional deduplication. Prespecified as descriptive pharmacovigilance evidence, not incidence or risk estimation.</w:t>
      </w:r>
    </w:p>
    <w:p>
      <w:pPr>
        <w:pStyle w:val="Heading3"/>
      </w:pPr>
      <w:r>
        <w:t>Patient-level molecular support</w:t>
      </w:r>
    </w:p>
    <w:p>
      <w:r>
        <w:t>GSE186144-GSE186143 melanoma PBMC cohort [34]: severe irAE (highest grade ≥3, n=21) vs. grade 0–2 (n=39). Eleven locked immune signatures scored as mean gene-wise z-scores. Median deltas, bootstrap CIs, Mann-Whitney P, BH-FDR q, Cliff's delta. Per-signature logistic models with therapy indicator as confounding sensitivity analyses.</w:t>
      </w:r>
    </w:p>
    <w:p>
      <w:pPr>
        <w:pStyle w:val="Heading2"/>
      </w:pPr>
      <w:r>
        <w:t>Box 1: Toxicity Phenotype Interpretation Standard</w:t>
      </w:r>
    </w:p>
    <w:p>
      <w:r>
        <w:t>Each evidence system measures a distinct toxicity phenotype. The table defines what inference each system supports—and what it forbids—in cross-tumor contexts.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Evidence system</w:t>
            </w:r>
          </w:p>
        </w:tc>
        <w:tc>
          <w:tcPr>
            <w:tcW w:type="dxa" w:w="2160"/>
          </w:tcPr>
          <w:p>
            <w:r>
              <w:rPr>
                <w:b/>
                <w:sz w:val="18"/>
              </w:rPr>
              <w:t>Measures</w:t>
            </w:r>
          </w:p>
        </w:tc>
        <w:tc>
          <w:tcPr>
            <w:tcW w:type="dxa" w:w="2160"/>
          </w:tcPr>
          <w:p>
            <w:r>
              <w:rPr>
                <w:b/>
                <w:sz w:val="18"/>
              </w:rPr>
              <w:t>Allowed inference</w:t>
            </w:r>
          </w:p>
        </w:tc>
        <w:tc>
          <w:tcPr>
            <w:tcW w:type="dxa" w:w="2160"/>
          </w:tcPr>
          <w:p>
            <w:r>
              <w:rPr>
                <w:b/>
                <w:sz w:val="18"/>
              </w:rPr>
              <w:t>Forbidden inference</w:t>
            </w:r>
          </w:p>
        </w:tc>
      </w:tr>
      <w:tr>
        <w:tc>
          <w:tcPr>
            <w:tcW w:type="dxa" w:w="2160"/>
          </w:tcPr>
          <w:p>
            <w:r>
              <w:rPr>
                <w:sz w:val="16"/>
              </w:rPr>
              <w:t>Aggregate trial safety tables (TRAE)</w:t>
            </w:r>
          </w:p>
        </w:tc>
        <w:tc>
          <w:tcPr>
            <w:tcW w:type="dxa" w:w="2160"/>
          </w:tcPr>
          <w:p>
            <w:r>
              <w:rPr>
                <w:sz w:val="16"/>
              </w:rPr>
              <w:t>Regimen-level broad safety burden</w:t>
            </w:r>
          </w:p>
        </w:tc>
        <w:tc>
          <w:tcPr>
            <w:tcW w:type="dxa" w:w="2160"/>
          </w:tcPr>
          <w:p>
            <w:r>
              <w:rPr>
                <w:sz w:val="16"/>
              </w:rPr>
              <w:t>"This regimen carries a specific grade ≥3 toxicity burden in this tumor type"</w:t>
            </w:r>
          </w:p>
        </w:tc>
        <w:tc>
          <w:tcPr>
            <w:tcW w:type="dxa" w:w="2160"/>
          </w:tcPr>
          <w:p>
            <w:r>
              <w:rPr>
                <w:sz w:val="16"/>
              </w:rPr>
              <w:t>"This tumor type has higher/lower ICI toxicity"</w:t>
            </w:r>
          </w:p>
        </w:tc>
      </w:tr>
      <w:tr>
        <w:tc>
          <w:tcPr>
            <w:tcW w:type="dxa" w:w="2160"/>
          </w:tcPr>
          <w:p>
            <w:r>
              <w:rPr>
                <w:sz w:val="16"/>
              </w:rPr>
              <w:t>Strict organ-specific irAE</w:t>
            </w:r>
          </w:p>
        </w:tc>
        <w:tc>
          <w:tcPr>
            <w:tcW w:type="dxa" w:w="2160"/>
          </w:tcPr>
          <w:p>
            <w:r>
              <w:rPr>
                <w:sz w:val="16"/>
              </w:rPr>
              <w:t>Organ-level adjudicated inflammatory toxicity</w:t>
            </w:r>
          </w:p>
        </w:tc>
        <w:tc>
          <w:tcPr>
            <w:tcW w:type="dxa" w:w="2160"/>
          </w:tcPr>
          <w:p>
            <w:r>
              <w:rPr>
                <w:sz w:val="16"/>
              </w:rPr>
              <w:t>Organ-specific safety signal in a single trial or source</w:t>
            </w:r>
          </w:p>
        </w:tc>
        <w:tc>
          <w:tcPr>
            <w:tcW w:type="dxa" w:w="2160"/>
          </w:tcPr>
          <w:p>
            <w:r>
              <w:rPr>
                <w:sz w:val="16"/>
              </w:rPr>
              <w:t>Cross-tumor organ-level irAE comparison (public aggregate data insufficient)</w:t>
            </w:r>
          </w:p>
        </w:tc>
      </w:tr>
      <w:tr>
        <w:tc>
          <w:tcPr>
            <w:tcW w:type="dxa" w:w="2160"/>
          </w:tcPr>
          <w:p>
            <w:r>
              <w:rPr>
                <w:sz w:val="16"/>
              </w:rPr>
              <w:t>openFDA ROR (spontaneous reports)</w:t>
            </w:r>
          </w:p>
        </w:tc>
        <w:tc>
          <w:tcPr>
            <w:tcW w:type="dxa" w:w="2160"/>
          </w:tcPr>
          <w:p>
            <w:r>
              <w:rPr>
                <w:sz w:val="16"/>
              </w:rPr>
              <w:t>Reporting disproportionality</w:t>
            </w:r>
          </w:p>
        </w:tc>
        <w:tc>
          <w:tcPr>
            <w:tcW w:type="dxa" w:w="2160"/>
          </w:tcPr>
          <w:p>
            <w:r>
              <w:rPr>
                <w:sz w:val="16"/>
              </w:rPr>
              <w:t>"Drug X is reported more/less often with event Y than expected"</w:t>
            </w:r>
          </w:p>
        </w:tc>
        <w:tc>
          <w:tcPr>
            <w:tcW w:type="dxa" w:w="2160"/>
          </w:tcPr>
          <w:p>
            <w:r>
              <w:rPr>
                <w:sz w:val="16"/>
              </w:rPr>
              <w:t>Incidence, risk, comparative safety, tumor-type-specific conclusions</w:t>
            </w:r>
          </w:p>
        </w:tc>
      </w:tr>
      <w:tr>
        <w:tc>
          <w:tcPr>
            <w:tcW w:type="dxa" w:w="2160"/>
          </w:tcPr>
          <w:p>
            <w:r>
              <w:rPr>
                <w:sz w:val="16"/>
              </w:rPr>
              <w:t>PBMC transcriptomic signatures</w:t>
            </w:r>
          </w:p>
        </w:tc>
        <w:tc>
          <w:tcPr>
            <w:tcW w:type="dxa" w:w="2160"/>
          </w:tcPr>
          <w:p>
            <w:r>
              <w:rPr>
                <w:sz w:val="16"/>
              </w:rPr>
              <w:t>Immune-program association with toxicity labels in one cohort</w:t>
            </w:r>
          </w:p>
        </w:tc>
        <w:tc>
          <w:tcPr>
            <w:tcW w:type="dxa" w:w="2160"/>
          </w:tcPr>
          <w:p>
            <w:r>
              <w:rPr>
                <w:sz w:val="16"/>
              </w:rPr>
              <w:t>"Severe irAE is associated with immune signature Z in this cohort"</w:t>
            </w:r>
          </w:p>
        </w:tc>
        <w:tc>
          <w:tcPr>
            <w:tcW w:type="dxa" w:w="2160"/>
          </w:tcPr>
          <w:p>
            <w:r>
              <w:rPr>
                <w:sz w:val="16"/>
              </w:rPr>
              <w:t>Cross-tumor biomarker validation; mechanistic proof</w:t>
            </w:r>
          </w:p>
        </w:tc>
      </w:tr>
    </w:tbl>
    <w:p>
      <w:r>
        <w:t>Minimum fields required for a valid cross-tumor ICI toxicity comparison: harmonized tumor type, ICI class, regimen architecture, line of therapy, organ-specific irAE adjudication by CTCAE grade, time to onset, management including steroid timing/dose/duration, recurrence, duration of follow-up, and immune-context biomarkers. No current public dataset contains all these fields for more than one tumor type.</w:t>
      </w:r>
    </w:p>
    <w:p>
      <w:pPr>
        <w:pStyle w:val="Heading2"/>
      </w:pPr>
      <w:r>
        <w:t>Results</w:t>
      </w:r>
    </w:p>
    <w:p>
      <w:pPr>
        <w:pStyle w:val="Heading3"/>
      </w:pPr>
      <w:r>
        <w:t>The published evidence does not contain one toxicity endpoint</w:t>
      </w:r>
    </w:p>
    <w:p>
      <w:r>
        <w:t>Of 384 source rows, 71 were primary-pooling compatible; 313 were sensitivity, audit, or context evidence. Largest endpoint classes: strict irAE (101), immune-mediated AE/imAE (71), registry audit (56). Pooling everything labeled "toxicity" without considering endpoint meaning produces an estimate measuring taxonomy as much as biology. For cross-tumor inference, this is fatal: the "toxicity" number from a lymphoma trial and the "toxicity" number from a solid-tumor trial are often not the same measurement.</w:t>
      </w:r>
    </w:p>
    <w:p>
      <w:pPr>
        <w:pStyle w:val="Heading3"/>
      </w:pPr>
      <w:r>
        <w:t>Broad TRAE shows a visible pattern, not a stable difference</w:t>
      </w:r>
    </w:p>
    <w:p>
      <w:r>
        <w:t>Broad TRAE—regimen-level safety burden, not adjudicated immune toxicity—showed lymphoma 19.1% (95% CI 6.1–46.4; PI 1.4–80.2; k=4; I²=95.2%) versus solid tumors 31.1% (95% CI 20.2–44.6; PI 4.7–80.5; k=14; I²=98.7%). Point estimates differ. Prediction intervals overlap massively. Heterogeneity is extreme. This is a sensitivity-only observation in a highly heterogeneous evidence space, not a stable cross-tumor difference.</w:t>
      </w:r>
    </w:p>
    <w:p>
      <w:pPr>
        <w:pStyle w:val="Heading3"/>
      </w:pPr>
      <w:r>
        <w:t>Strict organ-specific irAE: most of what clinicians want to know is not estimable</w:t>
      </w:r>
    </w:p>
    <w:p>
      <w:r>
        <w:t>This is the central finding. The audit identified 341 organ-level rows, 99 strict irAE rows, 53 primary-compatible. Across 23 organ-by-grade strata, 18 were unsuitable for lineage-wide pooling; 5 were potentially descriptive only. Reasons: sparse rows, source concentration, absence of comparable strict irAE in both lineages. If the strictest toxicity phenotype cannot support cross-tumor pooling here, it cannot support cross-tumor comparisons generally.</w:t>
      </w:r>
    </w:p>
    <w:p>
      <w:pPr>
        <w:pStyle w:val="Heading3"/>
      </w:pPr>
      <w:r>
        <w:t>openFDA cannot fill the gap</w:t>
      </w:r>
    </w:p>
    <w:p>
      <w:r>
        <w:t>Query: 20,328,575 reports, 80 agent-family ROR rows. Strongest signals: ipilimumab-endocrine ROR 29.59 (95% CI 28.50–30.73); pembrolizumab-endocrine ROR 22.10 (95% CI 21.45–22.77). Low-count cells flagged as unstable. Critical limitation: openFDA lacks tumor-type denominators. Cannot support "toxicity in melanoma versus lymphoma" because exposed populations by indication are not captured. This layer identifies reporting disproportionality—not tumor-type-specific toxicity.</w:t>
      </w:r>
    </w:p>
    <w:p>
      <w:pPr>
        <w:pStyle w:val="Heading3"/>
      </w:pPr>
      <w:r>
        <w:t>Patient-level PBMC data: signal, not cross-tumor evidence</w:t>
      </w:r>
    </w:p>
    <w:p>
      <w:r>
        <w:t>Melanoma PBMC cohort: 21 severe irAE, 39 grade 0–2. Four unadjusted FDR-significant signatures (cytotoxicity q=0.0213; M2-like myeloid/macrophage q=0.0213; MHC-II q=0.0213; B-cell context q=0.0362). None remained FDR-significant after therapy adjustment (lowest q=0.0647). Anti-PD-1: 3/29 severe; combination: 18/31 severe. Single-cohort, therapy-confounded. Supports feasibility of molecular phenotyping; does not support cross-tumor comparisons.</w:t>
      </w:r>
    </w:p>
    <w:p>
      <w:pPr>
        <w:pStyle w:val="Heading2"/>
      </w:pPr>
      <w:r>
        <w:t>Discussion</w:t>
      </w:r>
    </w:p>
    <w:p>
      <w:pPr>
        <w:pStyle w:val="Heading3"/>
      </w:pPr>
      <w:r>
        <w:t>What this analysis is</w:t>
      </w:r>
    </w:p>
    <w:p>
      <w:r>
        <w:t>This is not a meta-analysis, biomarker validation, or pharmacovigilance risk assessment. It is a pre-emptive evidence audit: a systematic examination of whether the four evidence types most commonly invoked in cross-tumor ICI toxicity discussions can support the inferences drawn from them. They cannot—not because the biology is false, but because the measurements differ and the required data fields do not exist in public evidence.</w:t>
      </w:r>
    </w:p>
    <w:p>
      <w:pPr>
        <w:pStyle w:val="Heading3"/>
      </w:pPr>
      <w:r>
        <w:t>Why this matters now</w:t>
      </w:r>
    </w:p>
    <w:p>
      <w:r>
        <w:t>Cross-tumor ICI toxicity comparisons influence tumor board decisions, clinical trial safety monitoring, regulatory assessments, and guideline recommendations. A physician who selects a regimen based on perceived lower toxicity in a different tumor type acts on a measurement that does not exist. Box 1 makes these comparisons auditable: any cross-tumor claim that cannot specify evidence system and endpoint class should be treated as hypothesis-generating at best.</w:t>
      </w:r>
    </w:p>
    <w:p>
      <w:pPr>
        <w:pStyle w:val="Heading3"/>
      </w:pPr>
      <w:r>
        <w:t>What the framework means in practice</w:t>
      </w:r>
    </w:p>
    <w:p>
      <w:r>
        <w:t>Broad TRAE answers: "How many patients had any high-grade event attributed to any study drug?" Useful for regimen-level planning; cannot identify tumor-type-specific toxicity. Strict organ irAE answers: "What is this organ's adjudicated immune-attributed toxicity rate?" This is what clinicians want—and public aggregate data are insufficient. openFDA ROR answers: "Which drug-event pairs are disproportionately reported?" Useful for signal detection; cannot estimate incidence or risk. PBMC signatures answer: "Is there an immune correlate of severe irAE in this cohort?" Useful for biology; cannot validate a cross-tumor biomarker.</w:t>
      </w:r>
    </w:p>
    <w:p>
      <w:pPr>
        <w:pStyle w:val="Heading3"/>
      </w:pPr>
      <w:r>
        <w:t>What a valid cross-tumor comparison requires</w:t>
      </w:r>
    </w:p>
    <w:p>
      <w:r>
        <w:t>Harmonized multi-tumor patient-level data containing: tumor type, ICI class, regimen architecture, line of therapy, organ-specific irAE adjudication by CTCAE grade, time to onset, steroid timing/dose/duration, recurrence, minimum follow-up, and immune-context biomarkers. No such dataset exists publicly. Until one does, cross-tumor claims must state the evidence system, endpoint class, and the inference that system supports.</w:t>
      </w:r>
    </w:p>
    <w:p>
      <w:pPr>
        <w:pStyle w:val="Heading3"/>
      </w:pPr>
      <w:r>
        <w:t>Limitations</w:t>
      </w:r>
    </w:p>
    <w:p>
      <w:r>
        <w:t>Single-analyst extraction. Open-label trial reporting. Spontaneous-reporting biases. Single-tumor-type molecular data. High heterogeneity in pooled TRAE. Sparse strict irAE strata. These limitations do not weaken the argument—they strengthen it: each identifiable limitation in an evidence system means that system's output should not be treated as definitive for cross-tumor inference.</w:t>
      </w:r>
    </w:p>
    <w:p>
      <w:pPr>
        <w:pStyle w:val="Heading3"/>
      </w:pPr>
      <w:r>
        <w:t>Conclusion</w:t>
      </w:r>
    </w:p>
    <w:p>
      <w:r>
        <w:t>Four evidence systems. Four distinct toxicity phenotypes. None interchangeable. None supports reliable cross-tumor inference with currently available public data. Before comparing ICI toxicity across tumor types, specify the phenotype, verify the evidence system supports the comparison, and report what it can and cannot answer. Without this, cross-tumor comparisons risk measuring the evidence system, not the biology.</w:t>
      </w:r>
    </w:p>
    <w:p>
      <w:pPr>
        <w:pStyle w:val="Heading2"/>
      </w:pPr>
      <w:r>
        <w:t>Figure Legends</w:t>
      </w:r>
    </w:p>
    <w:p>
      <w:r>
        <w:t>Figure 1. ICI toxicity phenotype decomposition across four non-exchangeable evidence systems. Dashed separators indicate the four layers answer different questions. The openFDA panel summarizes reporting signals, not individual agent RORs.</w:t>
      </w:r>
    </w:p>
    <w:p>
      <w:r>
        <w:t>Figure 2. Phenotype-specific clinical estimates. Broad TRAE pooled estimates by tumor lineage and chemotherapy context. Prediction intervals and heterogeneity are central to interpretation. Broad TRAE reflects regimen-level safety burden, not strict inflammatory irAE.</w:t>
      </w:r>
    </w:p>
    <w:p>
      <w:r>
        <w:t>Figure 3. Organ-specific strict irAE estimability audit. Organ-by-grade strata classified by pooling estimability. Most strict organ-specific irAE comparisons cannot support cross-tumor inference from current public evidence.</w:t>
      </w:r>
    </w:p>
    <w:p>
      <w:r>
        <w:t>Figure 4. openFDA reporting-signal heatmap (80 cells, 10 agents, 8 families). Cell numbers: report counts. Color: log2 ROR. Low-count, high-ROR cells (&lt;100 reports) are exploratory. Not incidence, risk, or adjudicated irAE rates.</w:t>
      </w:r>
    </w:p>
    <w:p>
      <w:r>
        <w:t>Figure 5. External melanoma PBMC molecular support. Unadjusted FDR-significant associations with therapy-confounding boundary. Single-tumor-type; not cross-tumor biomarker validation.</w:t>
      </w:r>
    </w:p>
    <w:p>
      <w:pPr>
        <w:pStyle w:val="Heading2"/>
      </w:pPr>
      <w:r>
        <w:t>Data and Code Availability</w:t>
      </w:r>
    </w:p>
    <w:p>
      <w:r>
        <w:t>Repository: https://github.com/xutaoguo55/ici-irae-phenotype-decomposition-esmo-open-v3-10 · Release v3.10: https://github.com/xutaoguo55/ici-irae-phenotype-decomposition-esmo-open-v3-10/releases/tag/v3.10 · DOI: 10.5281/zenodo.20989857</w:t>
      </w:r>
    </w:p>
    <w:p>
      <w:pPr>
        <w:pStyle w:val="Heading2"/>
      </w:pPr>
      <w:r>
        <w:t>Ethics and Reporting</w:t>
      </w:r>
    </w:p>
    <w:p>
      <w:r>
        <w:t>IRB exemption confirmed by Nanfang Hospital, Southern Medical University. Public aggregate and de-identified data only.</w:t>
      </w:r>
    </w:p>
    <w:p>
      <w:pPr>
        <w:pStyle w:val="Heading2"/>
      </w:pPr>
      <w:r>
        <w:t>Competing Interests</w:t>
      </w:r>
    </w:p>
    <w:p>
      <w:r>
        <w:t>None related to this work. X.G.: honoraria for unrelated educational lectures.</w:t>
      </w:r>
    </w:p>
    <w:p>
      <w:pPr>
        <w:pStyle w:val="Heading2"/>
      </w:pPr>
      <w:r>
        <w:t>Funding</w:t>
      </w:r>
    </w:p>
    <w:p>
      <w:r>
        <w:t>Institutional support: Clinical Medical Research Center of Hematological Diseases of Guangdong Province (no grant number).</w:t>
      </w:r>
    </w:p>
    <w:p>
      <w:pPr>
        <w:pStyle w:val="Heading2"/>
      </w:pPr>
      <w:r>
        <w:t>Author Contributions</w:t>
      </w:r>
    </w:p>
    <w:p>
      <w:r>
        <w:t>X.G., J.H.: conceptualization, methodology, writing. X.W., H.Z.: data curation, formal analysis. Q.W., Y.W., R.F.: investigation. All authors: review &amp; editing, approval. X.G.: guarantor.</w:t>
      </w:r>
    </w:p>
    <w:p>
      <w:pPr>
        <w:pStyle w:val="Heading2"/>
      </w:pPr>
      <w:r>
        <w:t>Word Count</w:t>
      </w:r>
    </w:p>
    <w:p>
      <w:r>
        <w:t>Abstract: 272 words. Main text: approximately 3,600 words.</w:t>
      </w:r>
    </w:p>
    <w:p>
      <w:pPr>
        <w:pStyle w:val="Heading2"/>
      </w:pPr>
      <w:r>
        <w:t>References</w:t>
      </w:r>
    </w:p>
    <w:p>
      <w:r>
        <w:t>1. Borghaei H et al. N Engl J Med. 2015;373:1627-1639. doi:10.1056/nejmoa1507643</w:t>
      </w:r>
    </w:p>
    <w:p>
      <w:r>
        <w:t>2. Brahmer J et al. N Engl J Med. 2015;373:123-135. doi:10.1056/nejmoa1504627</w:t>
      </w:r>
    </w:p>
    <w:p>
      <w:r>
        <w:t>3. Larkin J et al. N Engl J Med. 2015;373:23-34. doi:10.1056/nejmoa1504030</w:t>
      </w:r>
    </w:p>
    <w:p>
      <w:r>
        <w:t>4. Robert C et al. N Engl J Med. 2015;372:2521-2532. doi:10.1056/nejmoa1503093</w:t>
      </w:r>
    </w:p>
    <w:p>
      <w:r>
        <w:t>5. Reck M et al. N Engl J Med. 2016;375:1823-1833. doi:10.1056/nejmoa1606774</w:t>
      </w:r>
    </w:p>
    <w:p>
      <w:r>
        <w:t>6. Antonia SJ et al. N Engl J Med. 2017;377:1919-1929. doi:10.1056/nejmoa1709937</w:t>
      </w:r>
    </w:p>
    <w:p>
      <w:r>
        <w:t>7. Gandhi L et al. N Engl J Med. 2018;378:2078-2092. doi:10.1056/nejmoa1801005</w:t>
      </w:r>
    </w:p>
    <w:p>
      <w:r>
        <w:t>8. Motzer RJ et al. N Engl J Med. 2018;378:1277-1290. doi:10.1056/nejmoa1712126</w:t>
      </w:r>
    </w:p>
    <w:p>
      <w:r>
        <w:t>9. Paz-Ares L et al. N Engl J Med. 2018;379:2040-2051. doi:10.1056/nejmoa1810865</w:t>
      </w:r>
    </w:p>
    <w:p>
      <w:r>
        <w:t>10. Ramchandren R et al. J Clin Oncol. 2019;37:1997-2007. doi:10.1200/jco.19.00315</w:t>
      </w:r>
    </w:p>
    <w:p>
      <w:r>
        <w:t>11. Rini BI et al. N Engl J Med. 2019;380:1116-1127. doi:10.1056/nejmoa1816714</w:t>
      </w:r>
    </w:p>
    <w:p>
      <w:r>
        <w:t>12. Finn RS et al. N Engl J Med. 2020;382:1894-1905. doi:10.1056/nejmoa1915745</w:t>
      </w:r>
    </w:p>
    <w:p>
      <w:r>
        <w:t>13. Powles T et al. N Engl J Med. 2020;383:1218-1230. doi:10.1056/nejmoa2002788</w:t>
      </w:r>
    </w:p>
    <w:p>
      <w:r>
        <w:t>14. Schmid P et al. N Engl J Med. 2020;382:810-821. doi:10.1056/nejmoa1910549</w:t>
      </w:r>
    </w:p>
    <w:p>
      <w:r>
        <w:t>15. Allen PB et al. Blood. 2021;137:1318-1326. doi:10.1182/blood.2020007400</w:t>
      </w:r>
    </w:p>
    <w:p>
      <w:r>
        <w:t>16. Choueiri TK et al. N Engl J Med. 2021;385:683-694. doi:10.1056/nejmoa2106391</w:t>
      </w:r>
    </w:p>
    <w:p>
      <w:r>
        <w:t>17. Janjigian YY et al. Lancet. 2021;398:27-40. doi:10.1016/S0140-6736(21)00797-2</w:t>
      </w:r>
    </w:p>
    <w:p>
      <w:r>
        <w:t>18. Kuruvilla J et al. Lancet Oncol. 2021;22:512-524. doi:10.1016/S1470-2045(21)00005-X</w:t>
      </w:r>
    </w:p>
    <w:p>
      <w:r>
        <w:t>19. Moskowitz AJ et al. J Clin Oncol. 2021;39:3109-3117. doi:10.1200/jco.21.01056</w:t>
      </w:r>
    </w:p>
    <w:p>
      <w:r>
        <w:t>20. Paz-Ares L et al. Lancet Oncol. 2021;22:198-211. doi:10.1016/S1470-2045(20)30641-0</w:t>
      </w:r>
    </w:p>
    <w:p>
      <w:r>
        <w:t>21. Satouchi M et al. Cancer Sci. 2021;112:5000-5010. doi:10.1111/cas.15144</w:t>
      </w:r>
    </w:p>
    <w:p>
      <w:r>
        <w:t>22. Sezer A et al. Lancet. 2021;397:592-604. doi:10.1016/S0140-6736(21)00228-2</w:t>
      </w:r>
    </w:p>
    <w:p>
      <w:r>
        <w:t>23. Sun JM et al. Lancet. 2021;398:759-771. doi:10.1016/S0140-6736(21)01234-4</w:t>
      </w:r>
    </w:p>
    <w:p>
      <w:r>
        <w:t>24. Forde PM et al. N Engl J Med. 2022;386:1973-1985. doi:10.1056/nejmoa2202170</w:t>
      </w:r>
    </w:p>
    <w:p>
      <w:r>
        <w:t>25. Gogishvili M et al. Nat Med. 2022;28:2374-2380. doi:10.1038/s41591-022-01977-y</w:t>
      </w:r>
    </w:p>
    <w:p>
      <w:r>
        <w:t>26. Makker V et al. N Engl J Med. 2022;386:437-448. doi:10.1056/nejmoa2108330</w:t>
      </w:r>
    </w:p>
    <w:p>
      <w:r>
        <w:t>27. Mei MG et al. Blood. 2022;139:3605-3616. doi:10.1182/blood.2022015423</w:t>
      </w:r>
    </w:p>
    <w:p>
      <w:r>
        <w:t>28. Naidoo J et al. Lung Cancer. 2022;166:84-93. doi:10.1016/j.lungcan.2022.02.003</w:t>
      </w:r>
    </w:p>
    <w:p>
      <w:r>
        <w:t>29. Armand P et al. Blood. 2023;142:878-886. doi:10.1182/blood.2022019386</w:t>
      </w:r>
    </w:p>
    <w:p>
      <w:r>
        <w:t>30. Garassino MC et al. J Clin Oncol. 2023;41:1992-1998. doi:10.1200/jco.22.01989</w:t>
      </w:r>
    </w:p>
    <w:p>
      <w:r>
        <w:t>31. Novello S et al. J Clin Oncol. 2023;41:1999-2006. doi:10.1200/jco.22.01990</w:t>
      </w:r>
    </w:p>
    <w:p>
      <w:r>
        <w:t>32. Zinzani PL et al. Blood. 2023;142:141-145. doi:10.1182/blood.2022019340</w:t>
      </w:r>
    </w:p>
    <w:p>
      <w:r>
        <w:t>33. Park SH et al. Cancer Res Treat. 2026;58:613-621. Epub 2025 Jun 26. doi:10.4143/crt.2025.365</w:t>
      </w:r>
    </w:p>
    <w:p>
      <w:r>
        <w:t>34. Lozano AX et al. Nat Med. 2022;28:353-362. doi:10.1038/s41591-021-01623-z</w:t>
      </w:r>
    </w:p>
    <w:p>
      <w:r>
        <w:t>35. Haanen J et al. Ann Oncol. 2022;33:1217-1238. doi:10.1016/j.annonc.2022.10.001</w:t>
      </w:r>
    </w:p>
    <w:p>
      <w:r>
        <w:t>36. Schneider BJ et al. J Clin Oncol. 2021;39:4073-4126. doi:10.1200/JCO.21.01440</w:t>
      </w:r>
    </w:p>
    <w:p>
      <w:r>
        <w:t>37. Brahmer JR et al. J Immunother Cancer. 2021;9:e002435. doi:10.1136/jitc-2021-002435</w:t>
      </w:r>
    </w:p>
    <w:p>
      <w:r>
        <w:t>38. U.S. FDA. openFDA Drug Event API. https://open.fda.gov/apis/drug/event/. Accessed 28 Jun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