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3f7b5d562a44701e1743303d9e6ec4e8592114"/>
    <w:p>
      <w:pPr>
        <w:pStyle w:val="Heading1"/>
      </w:pPr>
      <w:r>
        <w:t xml:space="preserve">Endpoint-Defined Immune Checkpoint Inhibitor Toxicity Phenotypes Across Lymphoma and Solid Tumors: A Translational Evidence Analysis</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but published safety endpoints capture different clinical and biological phenotypes.</w:t>
      </w:r>
      <w:r>
        <w:t xml:space="preserve"> </w:t>
      </w:r>
      <w:r>
        <w:rPr>
          <w:b/>
          <w:bCs/>
        </w:rPr>
        <w:t xml:space="preserve">Methods:</w:t>
      </w:r>
      <w:r>
        <w:t xml:space="preserve"> </w:t>
      </w:r>
      <w:r>
        <w:t xml:space="preserve">We used lymphoma versus solid-tumor ICI toxicity as a clinical stress test and combined three evidence layers: a locked aggregate source registry with endpoint taxonomy, an organ-specific strict immune-related adverse event (irAE) estimability audit, and an external patient-level irAE-linked melanoma PBMC RNA-seq validation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By contrast, strict organ-specific irAE inference was mostly not estimable, with 18 of 23 organ-by-grade strata unsuitable for lineage-wide pooling. In patient-level melanoma PBMC data, severe irAE status was associated with 4 FDR-significant immune signatures among 21 severe versus 39 grade 0-2 samples.</w:t>
      </w:r>
      <w:r>
        <w:t xml:space="preserve"> </w:t>
      </w:r>
      <w:r>
        <w:rPr>
          <w:b/>
          <w:bCs/>
        </w:rPr>
        <w:t xml:space="preserve">Conclusions:</w:t>
      </w:r>
      <w:r>
        <w:t xml:space="preserve"> </w:t>
      </w:r>
      <w:r>
        <w:t xml:space="preserve">Current public evidence supports phenotype-dependent interpretation of ICI toxicity differences. It supports a broad safety-burden contrast, identifies strict organ-specific irAE lineage comparison as mostly non-estimable, and shows that severe-irAE phenotypes can have measurable immune correlates in patient-level data. It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sources do not report one interchangeable toxicity endpoint.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18"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local source files and public data. The study had three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patient-level validation layer tested whether severe irAE, as a toxicity phenotype, was associated with immune transcriptomic signatures when sample-level toxicity labels and molecular profiles were jointly available.</w:t>
      </w:r>
    </w:p>
    <w:bookmarkEnd w:id="11"/>
    <w:bookmarkStart w:id="12"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follows: strict irAE: 101 rows</w:t>
      </w:r>
      <w:r>
        <w:t xml:space="preserve"> </w:t>
      </w:r>
      <w:r>
        <w:t xml:space="preserve">immune-mediated AE/imAE: 71 rows</w:t>
      </w:r>
      <w:r>
        <w:t xml:space="preserve"> </w:t>
      </w:r>
      <w:r>
        <w:t xml:space="preserve">registry audit only: 56 rows</w:t>
      </w:r>
      <w:r>
        <w:t xml:space="preserve"> </w:t>
      </w:r>
      <w:r>
        <w:t xml:space="preserve">regulatory sensitivity: 50 rows</w:t>
      </w:r>
      <w:r>
        <w:t xml:space="preserve"> </w:t>
      </w:r>
      <w:r>
        <w:t xml:space="preserve">context only: 31 rows</w:t>
      </w:r>
      <w:r>
        <w:t xml:space="preserve"> </w:t>
      </w:r>
      <w:r>
        <w:t xml:space="preserve">subgroup/post-hoc sensitivity: 29 rows</w:t>
      </w:r>
      <w:r>
        <w:t xml:space="preserve"> </w:t>
      </w:r>
      <w:r>
        <w:t xml:space="preserve">selected AE sensitivity: 28 rows</w:t>
      </w:r>
      <w:r>
        <w:t xml:space="preserve"> </w:t>
      </w:r>
      <w:r>
        <w:t xml:space="preserve">treatment-related AE: 18 rows.</w:t>
      </w:r>
    </w:p>
    <w:bookmarkEnd w:id="12"/>
    <w:bookmarkStart w:id="13"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3"/>
    <w:bookmarkStart w:id="14"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4"/>
    <w:bookmarkStart w:id="15"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5"/>
    <w:bookmarkStart w:id="16" w:name="X9f94dfc5d010c804a50495976ea9b0b81d5248a"/>
    <w:p>
      <w:pPr>
        <w:pStyle w:val="Heading3"/>
      </w:pPr>
      <w:r>
        <w:t xml:space="preserve">Patient-level irAE-linked transcriptomic validation</w:t>
      </w:r>
    </w:p>
    <w:p>
      <w:pPr>
        <w:pStyle w:val="FirstParagraph"/>
      </w:pPr>
      <w:r>
        <w:t xml:space="preserve">The external validation layer used the public Lozano/GSE186144-GSE186143 melanoma PBMC bulk RNA-seq cohort.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w:t>
      </w:r>
    </w:p>
    <w:bookmarkEnd w:id="16"/>
    <w:bookmarkStart w:id="17"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validation layers.</w:t>
      </w:r>
    </w:p>
    <w:bookmarkEnd w:id="17"/>
    <w:bookmarkEnd w:id="18"/>
    <w:bookmarkStart w:id="25" w:name="results"/>
    <w:p>
      <w:pPr>
        <w:pStyle w:val="Heading2"/>
      </w:pPr>
      <w:r>
        <w:t xml:space="preserve">Results</w:t>
      </w:r>
    </w:p>
    <w:bookmarkStart w:id="19"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19"/>
    <w:bookmarkStart w:id="20"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0"/>
    <w:bookmarkStart w:id="21"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1"/>
    <w:bookmarkStart w:id="22"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2"/>
    <w:bookmarkStart w:id="23" w:name="X38ea0c451f341ad0fc32e5b1a1d62899defe2cb"/>
    <w:p>
      <w:pPr>
        <w:pStyle w:val="Heading3"/>
      </w:pPr>
      <w:r>
        <w:t xml:space="preserve">Patient-level severe-irAE transcriptomes supported phenotype measurability</w:t>
      </w:r>
    </w:p>
    <w:p>
      <w:pPr>
        <w:pStyle w:val="FirstParagraph"/>
      </w:pPr>
      <w:r>
        <w:t xml:space="preserve">The patient-level validation cohort contained 60 melanoma PBMC bulk RNA-seq samples with usable highest irAE grade labels: 21 severe irAE samples and 39 grade 0-2 samples. Across 11 locked signatures, 4 remained significant at FDR &lt;0.05. The leading associations were cytotoxicity delta 0.664, q=0.0213; tam m2 delta 0.613, q=0.0213; antigen presentation mhc2 delta 0.754, q=0.0213; b cell context delta 0.522, q=0.0362. Leave-one-sample analysis did not reverse the severe-minus-non-severe direction for 11 of 11 signatures. Therapy-type sensitivity was descriptive because severe irAE was concentrated in combination-treated samples, while anti-PD-1 severe-irAE counts were sparse.</w:t>
      </w:r>
    </w:p>
    <w:p>
      <w:pPr>
        <w:pStyle w:val="BodyText"/>
      </w:pPr>
      <w:r>
        <w:t xml:space="preserve">These results do not estimate lymphoma-versus-solid causality. Their value is different: they show that toxicity phenotypes are biologically measurable when patient-level labels exist. This converts the manuscript from an endpoint-audit study into a translational evidence analysis linking aggregate estimability with patient-level molecular validation.</w:t>
      </w:r>
    </w:p>
    <w:bookmarkEnd w:id="23"/>
    <w:bookmarkStart w:id="24"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4"/>
    <w:bookmarkEnd w:id="25"/>
    <w:bookmarkStart w:id="26"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The central finding is not that one tumor lineage has intrinsically more immune toxicity. The central finding is that the answer changes depending on which toxicity phenotype is measured. Broad high-grade treatment-related toxicity shows a visible but heterogeneous safety-burden contrast. Strict organ-specific inflammatory irAE is mostly not estimable from public aggregate data.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validation is translationally informative, but melanoma-only data cannot settle cross-lineage causality.</w:t>
      </w:r>
    </w:p>
    <w:p>
      <w:pPr>
        <w:pStyle w:val="BodyText"/>
      </w:pPr>
      <w:r>
        <w:t xml:space="preserve">The patient-level validation layer is the most important scientific strengthening relative to a pure evidence framework. It shows that phenotype decomposition is not only a reporting exercise. Severe irAE is associated with immune programs related to cytotoxicity, TAM/M2-like inflammation, MHC-II antigen presentation and B-cell context after FDR control. These associations are exploratory and therapy-confounded, but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patient-level validation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6"/>
    <w:bookmarkStart w:id="27" w:name="data-and-code-availability"/>
    <w:p>
      <w:pPr>
        <w:pStyle w:val="Heading2"/>
      </w:pPr>
      <w:r>
        <w:t xml:space="preserve">Data and Code Availability</w:t>
      </w:r>
    </w:p>
    <w:p>
      <w:pPr>
        <w:pStyle w:val="FirstParagraph"/>
      </w:pPr>
      <w:r>
        <w:t xml:space="preserve">This v3.1 version was generated from locked local files and public source data in</w:t>
      </w:r>
      <w:r>
        <w:t xml:space="preserve"> </w:t>
      </w:r>
      <w:r>
        <w:rPr>
          <w:rStyle w:val="VerbatimChar"/>
        </w:rPr>
        <w:t xml:space="preserve">/Users/guoxutao/ici_irAE_meta_review</w:t>
      </w:r>
      <w:r>
        <w:t xml:space="preserve">. The aggregate source registry, endpoint-compatible pooled estimates, organ-specific irAE compatibility audit, toxicity phenotype interpretation standard and patient-level validation outputs are listed in the Supplementary Materials Index. The patient-level external validation layer used GEO GSE186144/GSE186143. Public repository URL/DOI remains AUTHOR TO COMPLETE before final submission.</w:t>
      </w:r>
    </w:p>
    <w:bookmarkEnd w:id="27"/>
    <w:bookmarkStart w:id="28" w:name="ethics-and-reporting"/>
    <w:p>
      <w:pPr>
        <w:pStyle w:val="Heading2"/>
      </w:pPr>
      <w:r>
        <w:t xml:space="preserve">Ethics and Reporting</w:t>
      </w:r>
    </w:p>
    <w:p>
      <w:pPr>
        <w:pStyle w:val="FirstParagraph"/>
      </w:pPr>
      <w:r>
        <w:t xml:space="preserve">This study used aggregate published or publicly accessible source information and public de-identified transcriptomic data. No new patient recruitment, intervention or access to identifiable individual data was performed by the authors in this analysis. Formal institutional review status or exemption wording remains AUTHOR TO CONFIRM before journal submission. Author names, affiliations, author contributions, funding, competing interests, guarantor and ORCID metadata remain AUTHOR TO COMPLETE.</w:t>
      </w:r>
    </w:p>
    <w:bookmarkEnd w:id="28"/>
    <w:bookmarkStart w:id="29" w:name="references-to-finalize"/>
    <w:p>
      <w:pPr>
        <w:pStyle w:val="Heading2"/>
      </w:pPr>
      <w:r>
        <w:t xml:space="preserve">References to finalize</w:t>
      </w:r>
    </w:p>
    <w:p>
      <w:pPr>
        <w:pStyle w:val="FirstParagraph"/>
      </w:pPr>
      <w:r>
        <w:t xml:space="preserve">References should include prior irAE reporting-quality and terminology work, ICI irAE systematic reviews, ESMO/ASCO/SITC irAE guidance where appropriate, the pivotal trial/source documents in the locked registry, Lozano et al. Nature Medicine 2022/GSE186144-GSE186143 and van Eijs et al. Communications Medicine 2025/UNICIT where discussed. Final Vancouver-style formatting remains AUTHOR TO COMPLETE.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2026-06-28T01:19:45Z</dcterms:created>
  <dcterms:modified xsi:type="dcterms:W3CDTF">2026-06-28T01:19:45Z</dcterms:modified>
</cp:coreProperties>
</file>

<file path=docProps/custom.xml><?xml version="1.0" encoding="utf-8"?>
<Properties xmlns="http://schemas.openxmlformats.org/officeDocument/2006/custom-properties" xmlns:vt="http://schemas.openxmlformats.org/officeDocument/2006/docPropsVTypes"/>
</file>