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3f7b5d562a44701e1743303d9e6ec4e8592114"/>
    <w:p>
      <w:pPr>
        <w:pStyle w:val="Heading1"/>
      </w:pPr>
      <w:r>
        <w:t xml:space="preserve">Endpoint-Defined Immune Checkpoint Inhibitor Toxicity Phenotypes Across Lymphoma and Solid Tumors: A Translational Evidence Analysis</w:t>
      </w:r>
    </w:p>
    <w:p>
      <w:pPr>
        <w:pStyle w:val="FirstParagraph"/>
      </w:pPr>
      <w:r>
        <w:t xml:space="preserve">Short title: ICI toxicity phenotype decomposition</w:t>
      </w:r>
    </w:p>
    <w:bookmarkStart w:id="9" w:name="abstract"/>
    <w:p>
      <w:pPr>
        <w:pStyle w:val="Heading2"/>
      </w:pPr>
      <w:r>
        <w:t xml:space="preserve">Abstract</w:t>
      </w:r>
    </w:p>
    <w:p>
      <w:pPr>
        <w:pStyle w:val="FirstParagraph"/>
      </w:pPr>
      <w:r>
        <w:rPr>
          <w:b/>
          <w:bCs/>
        </w:rPr>
        <w:t xml:space="preserve">Background:</w:t>
      </w:r>
      <w:r>
        <w:t xml:space="preserve"> </w:t>
      </w:r>
      <w:r>
        <w:t xml:space="preserve">Immune checkpoint inhibitor (ICI) toxicity is often compared across tumor settings as a single incidence outcome, although published safety endpoints capture different clinical and biological phenotypes.</w:t>
      </w:r>
      <w:r>
        <w:t xml:space="preserve"> </w:t>
      </w:r>
      <w:r>
        <w:rPr>
          <w:b/>
          <w:bCs/>
        </w:rPr>
        <w:t xml:space="preserve">Methods:</w:t>
      </w:r>
      <w:r>
        <w:t xml:space="preserve"> </w:t>
      </w:r>
      <w:r>
        <w:t xml:space="preserve">We used lymphoma versus solid-tumor ICI toxicity as a clinical stress test and combined three evidence layers: a locked aggregate source registry with endpoint taxonomy, an organ-specific strict immune-related adverse event (irAE) estimability audit, and an external patient-level irAE-linked melanoma PBMC RNA-seq validation cohort.</w:t>
      </w:r>
      <w:r>
        <w:t xml:space="preserve"> </w:t>
      </w:r>
      <w:r>
        <w:rPr>
          <w:b/>
          <w:bCs/>
        </w:rPr>
        <w:t xml:space="preserve">Results:</w:t>
      </w:r>
      <w:r>
        <w:t xml:space="preserve"> </w:t>
      </w:r>
      <w:r>
        <w:t xml:space="preserve">The registry contained 384 endpoint-labelled rows across 36 study/source blocks; 71 were endpoint-compatible for primary pooling and 313 were sensitivity, audit or context evidence. Broad high-grade treatment-related adverse events showed a visible but heterogeneous sensitivity-only contrast: lymphoma 19.1% (95% CI 6.1-46.4; prediction interval 1.4-80.2; k=4) versus solid tumors 31.1% (95% CI 20.2-44.6; prediction interval 4.7-80.5; k=14). Strict organ-specific irAE inference was mostly not estimable, with 18 of 23 organ-by-grade strata unsuitable for lineage-wide pooling. In patient-level melanoma PBMC data, severe irAE status was associated with 4 FDR-significant immune signatures among 21 severe versus 39 grade 0-2 samples.</w:t>
      </w:r>
      <w:r>
        <w:t xml:space="preserve"> </w:t>
      </w:r>
      <w:r>
        <w:rPr>
          <w:b/>
          <w:bCs/>
        </w:rPr>
        <w:t xml:space="preserve">Conclusions:</w:t>
      </w:r>
      <w:r>
        <w:t xml:space="preserve"> </w:t>
      </w:r>
      <w:r>
        <w:t xml:space="preserve">Public evidence supports phenotype-dependent interpretation of ICI toxicity differences: a broad safety-burden contrast, mostly non-estimable strict organ-specific irAE lineage comparison, and measurable severe-irAE immune correlates in patient-level data. It does not support intrinsic lymphoma-versus-solid lineage causality.</w:t>
      </w:r>
    </w:p>
    <w:bookmarkEnd w:id="9"/>
    <w:bookmarkStart w:id="10" w:name="introduction"/>
    <w:p>
      <w:pPr>
        <w:pStyle w:val="Heading2"/>
      </w:pPr>
      <w:r>
        <w:t xml:space="preserve">Introduction</w:t>
      </w:r>
    </w:p>
    <w:p>
      <w:pPr>
        <w:pStyle w:val="FirstParagraph"/>
      </w:pPr>
      <w:r>
        <w:t xml:space="preserve">ICI safety has become a central issue in oncology because the same immune activation that can produce durable tumor control can also produce inflammatory toxicity, and major oncology guidance documents emphasize that immune-related adverse events can affect many organ systems and require phenotype-specific management [35-37]. Cross-tumor toxicity comparisons are increasingly used when clinicians interpret trial safety tables, counsel patients and design combination regimens. Yet the apparent simplicity of a question such as whether lymphoma and solid-tumor ICI studies show different toxicity burdens hides a measurement problem. Published pivotal trial and source documents do not report one interchangeable toxicity endpoint [1-33]. They report strict irAE, immune-mediated AE, adverse events of special interest, treatment-related AE, selected adverse events, registry signals and regulatory safety rows, each with different attribution rules and clinical meaning.</w:t>
      </w:r>
    </w:p>
    <w:p>
      <w:pPr>
        <w:pStyle w:val="BodyText"/>
      </w:pPr>
      <w:r>
        <w:t xml:space="preserve">This distinction is not semantic. Broad high-grade treatment-related AE captures regimen-level safety burden and includes events related to cytotoxic chemotherapy, laboratory abnormalities and non-inflammatory treatment effects. Strict organ-specific irAE is closer to the inflammatory toxicity construct clinicians usually mean when discussing immune toxicity. Treatment architecture captures a different phenotype again: the toxicity burden associated with concurrent chemotherapy-ICI, no cytotoxic chemotherapy, dual checkpoint blockade or sequential regimens. Molecular or perturbational data do not estimate clinical incidence, but they can test whether toxicity phenotypes have plausible immune correlates.</w:t>
      </w:r>
    </w:p>
    <w:p>
      <w:pPr>
        <w:pStyle w:val="BodyText"/>
      </w:pPr>
      <w:r>
        <w:t xml:space="preserve">The lymphoma-versus-solid tumor comparison is a useful stress test because it is clinically plausible but vulnerable to overinterpretation. Lymphoma is not simply an immune-deficient comparator; it is an immune-context remodeling setting with lineage-specific biology, subtype heterogeneity and distinct treatment architecture. Solid-tumor ICI evidence is larger but dominated by different regimens, endpoint conventions and source tiers. A conventional all-row toxicity meta-analysis would therefore risk answering an undefined question.</w:t>
      </w:r>
    </w:p>
    <w:p>
      <w:pPr>
        <w:pStyle w:val="BodyText"/>
      </w:pPr>
      <w:r>
        <w:t xml:space="preserve">We reframed the problem as ICI toxicity phenotype decomposition. The aim was to determine whether the answer to a cross-tumor toxicity comparison changes when the endpoint is decomposed into broad safety burden, strict organ-specific inflammatory toxicity, architecture-associated toxicity and patient-level immune-correlate phenotypes. This positions the study as a secondary translational evidence analysis rather than a traditional meta-analysis, pure bioinformatics paper or narrative review.</w:t>
      </w:r>
    </w:p>
    <w:bookmarkEnd w:id="10"/>
    <w:bookmarkStart w:id="18" w:name="methods"/>
    <w:p>
      <w:pPr>
        <w:pStyle w:val="Heading2"/>
      </w:pPr>
      <w:r>
        <w:t xml:space="preserve">Methods</w:t>
      </w:r>
    </w:p>
    <w:bookmarkStart w:id="11" w:name="study-design-and-evidence-layers"/>
    <w:p>
      <w:pPr>
        <w:pStyle w:val="Heading3"/>
      </w:pPr>
      <w:r>
        <w:t xml:space="preserve">Study design and evidence layers</w:t>
      </w:r>
    </w:p>
    <w:p>
      <w:pPr>
        <w:pStyle w:val="FirstParagraph"/>
      </w:pPr>
      <w:r>
        <w:t xml:space="preserve">We performed an endpoint-stratified translational evidence analysis using locked local source files and public data. The study had three layers. The aggregate clinical layer characterized endpoint-labelled ICI safety rows and generated endpoint-compatible pooled estimates only where exchangeability was defensible. The organ-specific layer audited whether strict inflammatory irAE comparisons were estimable across lineages. The patient-level validation layer tested whether severe irAE, as a toxicity phenotype, was associated with immune transcriptomic signatures when sample-level toxicity labels and molecular profiles were jointly available.</w:t>
      </w:r>
    </w:p>
    <w:bookmarkEnd w:id="11"/>
    <w:bookmarkStart w:id="12" w:name="aggregate-source-registry"/>
    <w:p>
      <w:pPr>
        <w:pStyle w:val="Heading3"/>
      </w:pPr>
      <w:r>
        <w:t xml:space="preserve">Aggregate source registry</w:t>
      </w:r>
    </w:p>
    <w:p>
      <w:pPr>
        <w:pStyle w:val="FirstParagraph"/>
      </w:pPr>
      <w:r>
        <w:t xml:space="preserve">The aggregate registry used source rows nested within study/source blocks. Each row captured study name, trial identifier when available, tumor lineage, tumor type, lymphoma subtype when applicable, regimen, ICI agent and class, chemotherapy context, timing architecture, steroid-core regimen status, endpoint label in the source, endpoint taxonomy, safety denominator, event count, rate, grade, source tier, quantitative role, source file or URL, extraction note and eligibility for primary pooling. The registry contained 384 rows across 36 source blocks. Endpoint classes were distributed as strict irAE (101 rows), immune-mediated AE/imAE (71 rows), registry audit only (56 rows), regulatory sensitivity (50 rows), context only (31 rows), subgroup/post-hoc sensitivity (29 rows), selected AE sensitivity (28 rows) and treatment-related AE (18 rows).</w:t>
      </w:r>
    </w:p>
    <w:bookmarkEnd w:id="12"/>
    <w:bookmarkStart w:id="13" w:name="X457804452fd9e4bfdd88c996451729723264a50"/>
    <w:p>
      <w:pPr>
        <w:pStyle w:val="Heading3"/>
      </w:pPr>
      <w:r>
        <w:t xml:space="preserve">Endpoint taxonomy and pooling eligibility</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Endpoint-compatible pooled estimates were retained only when endpoint label, grade threshold, denominator and quantitative role were compatible. Rows that were not primary-pooling compatible were retained for source coverage, sensitivity analysis, organ-specific estimability or context. High-grade treatment-related AE was analyzed as broad safety burden and was not interpreted as strict inflammatory irAE.</w:t>
      </w:r>
    </w:p>
    <w:bookmarkEnd w:id="13"/>
    <w:bookmarkStart w:id="14" w:name="X10d36e6f5dcbb76101a123122c974c5680e0edb"/>
    <w:p>
      <w:pPr>
        <w:pStyle w:val="Heading3"/>
      </w:pPr>
      <w:r>
        <w:t xml:space="preserve">Clinical synthesis and architecture sensitivity</w:t>
      </w:r>
    </w:p>
    <w:p>
      <w:pPr>
        <w:pStyle w:val="FirstParagraph"/>
      </w:pPr>
      <w:r>
        <w:t xml:space="preserve">Locked random-effects outputs were used for endpoint-compatible pooled estimates. Pooled estimates report k, total events, total safety denominator, pooled rate, 95% confidence interval, prediction interval and heterogeneity. Architecture sensitivity separated concurrent chemotherapy context, no-cytotoxic-chemotherapy context and ICI-before-chemotherapy context. Architecture strata were interpreted as exposure-context associations, not causal timing effects.</w:t>
      </w:r>
    </w:p>
    <w:bookmarkEnd w:id="14"/>
    <w:bookmarkStart w:id="15" w:name="X9e051f664679161e4cd24087ef30aedc4a5fcf4"/>
    <w:p>
      <w:pPr>
        <w:pStyle w:val="Heading3"/>
      </w:pPr>
      <w:r>
        <w:t xml:space="preserve">Organ-specific strict irAE estimability audit</w:t>
      </w:r>
    </w:p>
    <w:p>
      <w:pPr>
        <w:pStyle w:val="FirstParagraph"/>
      </w:pPr>
      <w:r>
        <w:t xml:space="preserve">The organ-specific audit evaluated organ system and grade strata for total rows, strict irAE rows, primary-compatible rows, lymphoma rows, solid-tumor rows, source blocks, source tiers, endpoint layers and source concentration. A stratum was labelled not estimable when there were no compatible strict irAE rows, fewer than two independent source blocks in at least one lineage, sparse compatible rows, source concentration or incompatible endpoint layers. This audit was designed to identify where lineage-wide strict irAE pooling was blocked rather than to force a pooled estimate.</w:t>
      </w:r>
    </w:p>
    <w:bookmarkEnd w:id="15"/>
    <w:bookmarkStart w:id="16" w:name="X9f94dfc5d010c804a50495976ea9b0b81d5248a"/>
    <w:p>
      <w:pPr>
        <w:pStyle w:val="Heading3"/>
      </w:pPr>
      <w:r>
        <w:t xml:space="preserve">Patient-level irAE-linked transcriptomic validation</w:t>
      </w:r>
    </w:p>
    <w:p>
      <w:pPr>
        <w:pStyle w:val="FirstParagraph"/>
      </w:pPr>
      <w:r>
        <w:t xml:space="preserve">The external validation layer used the public Lozano/GSE186144-GSE186143 melanoma PBMC bulk RNA-seq cohort [34]. GEO metadata were parsed for patient identifier, diagnosis, therapy type and highest irAE grade. Healthy controls and melanoma samples without irAE grade were excluded. Severe irAE was defined as highest grade &gt;=3 and compared with grade 0-2. Locked immune signatures were scored as mean gene-wise z-scores over log2(TPM+1) expression. We estimated median severe-minus-non-severe deltas, bootstrap confidence intervals, Mann-Whitney P values, Benjamini-Hochberg FDR q values and Cliff’s delta. Leave-one-sample analysis tested direction stability. Therapy-type subgroup analysis was descriptive because severe events were sparse in anti-PD-1 monotherapy.</w:t>
      </w:r>
    </w:p>
    <w:bookmarkEnd w:id="16"/>
    <w:bookmarkStart w:id="17" w:name="interpretation-standard"/>
    <w:p>
      <w:pPr>
        <w:pStyle w:val="Heading3"/>
      </w:pPr>
      <w:r>
        <w:t xml:space="preserve">Interpretation standard</w:t>
      </w:r>
    </w:p>
    <w:p>
      <w:pPr>
        <w:pStyle w:val="FirstParagraph"/>
      </w:pPr>
      <w:r>
        <w:t xml:space="preserve">We replaced internal claim-gate language with a toxicity phenotype interpretation standard. For each phenotype class, the standard defines minimum endpoint requirements, allowed inference, forbidden inference and the patient-level fields required for future definitive studies. This standard is not a new statistical method; it is a structured interpretation framework derived from the empirical source audit and validation layers.</w:t>
      </w:r>
    </w:p>
    <w:bookmarkEnd w:id="17"/>
    <w:bookmarkEnd w:id="18"/>
    <w:bookmarkStart w:id="25" w:name="results"/>
    <w:p>
      <w:pPr>
        <w:pStyle w:val="Heading2"/>
      </w:pPr>
      <w:r>
        <w:t xml:space="preserve">Results</w:t>
      </w:r>
    </w:p>
    <w:bookmarkStart w:id="19" w:name="X7c96513c9a70b92e935757ca7196fa5ac3a07f0"/>
    <w:p>
      <w:pPr>
        <w:pStyle w:val="Heading3"/>
      </w:pPr>
      <w:r>
        <w:t xml:space="preserve">Public aggregate evidence separated into endpoint-defined toxicity phenotypes</w:t>
      </w:r>
    </w:p>
    <w:p>
      <w:pPr>
        <w:pStyle w:val="FirstParagraph"/>
      </w:pPr>
      <w:r>
        <w:t xml:space="preserve">The source flow showed substantial endpoint heterogeneity. Of 384 source rows, only 71 were primary-pooling compatible and 313 were sensitivity, audit or context evidence. The largest endpoint classes were strict irAE, immune-mediated AE/imAE, registry audit rows, regulatory sensitivity rows and context-only rows. This source structure means that public ICI safety evidence does not support a single omnibus toxicity estimate across all endpoint labels. Instead, the registry defines a phenotype map in which each endpoint class answers a different clinical question.</w:t>
      </w:r>
    </w:p>
    <w:bookmarkEnd w:id="19"/>
    <w:bookmarkStart w:id="20" w:name="Xfa7b6f83c4d8d43d1b918d5cc152adcca5b1d72"/>
    <w:p>
      <w:pPr>
        <w:pStyle w:val="Heading3"/>
      </w:pPr>
      <w:r>
        <w:t xml:space="preserve">Broad high-grade treatment-related toxicity showed a visible but heterogeneous contrast</w:t>
      </w:r>
    </w:p>
    <w:p>
      <w:pPr>
        <w:pStyle w:val="FirstParagraph"/>
      </w:pPr>
      <w:r>
        <w:t xml:space="preserve">The broad high-grade treatment-related AE phenotype showed a solid-tumor-higher safety-burden contrast. Lymphoma arms had a pooled rate of 19.1% (95% CI 6.1-46.4; prediction interval 1.4-80.2; k=4; events=75/N=462; I2=95.2%). Solid-tumor arms had a pooled rate of 31.1% (95% CI 20.2-44.6; prediction interval 4.7-80.5; k=14; events=2237/N=5130; I2=98.7%). This contrast is clinically interpretable as broad high-grade safety burden, but not as a strict inflammatory irAE contrast. The wide prediction intervals and high heterogeneity are central to the interpretation.</w:t>
      </w:r>
    </w:p>
    <w:bookmarkEnd w:id="20"/>
    <w:bookmarkStart w:id="21" w:name="X2d45ea409acf634f5afa87feb909ccf2cf40737"/>
    <w:p>
      <w:pPr>
        <w:pStyle w:val="Heading3"/>
      </w:pPr>
      <w:r>
        <w:t xml:space="preserve">Strict organ-specific irAE comparison was mostly a negative estimability result</w:t>
      </w:r>
    </w:p>
    <w:p>
      <w:pPr>
        <w:pStyle w:val="FirstParagraph"/>
      </w:pPr>
      <w:r>
        <w:t xml:space="preserve">The strictest clinically relevant phenotype was organ-specific inflammatory irAE. The audit identified 341 organ-specific rows, 99 strict irAE rows and 53 primary-compatible organ-specific strict irAE rows. Across 23 organ-by-grade strata, 18 were not suitable for lineage-wide pooling and 5 were potentially descriptive only. The reasons included sparse compatible rows, source concentration, absence of compatible strict irAE rows and inadequate independent source blocks in at least one lineage. This result is scientifically important because it shows that the specific question clinicians may care about most is usually not estimable from public aggregate evidence.</w:t>
      </w:r>
    </w:p>
    <w:bookmarkEnd w:id="21"/>
    <w:bookmarkStart w:id="22" w:name="X4e5c25c8d8c252da8f710ac7d236c6471ce2fe9"/>
    <w:p>
      <w:pPr>
        <w:pStyle w:val="Heading3"/>
      </w:pPr>
      <w:r>
        <w:t xml:space="preserve">Regimen architecture defined a separate broad-toxicity phenotype</w:t>
      </w:r>
    </w:p>
    <w:p>
      <w:pPr>
        <w:pStyle w:val="FirstParagraph"/>
      </w:pPr>
      <w:r>
        <w:t xml:space="preserve">Architecture-sensitive estimates further supported phenotype decomposition. Concurrent chemotherapy-ICI context had a broad high-grade treatment-related AE pooled rate of 58.9% (95% CI 44.0-72.4; prediction interval 25.0-86.0; k=5). No-cytotoxic-chemotherapy context had a pooled rate of 17.0% (95% CI 10.2-26.9; prediction interval 2.5-61.9; k=12). The ICI-before-chemotherapy stratum contained one compatible arm and was not pooled. This layer supports architecture-aware interpretation of broad safety burden while leaving causal sequence effects for future patient-level designs.</w:t>
      </w:r>
    </w:p>
    <w:bookmarkEnd w:id="22"/>
    <w:bookmarkStart w:id="23" w:name="X38ea0c451f341ad0fc32e5b1a1d62899defe2cb"/>
    <w:p>
      <w:pPr>
        <w:pStyle w:val="Heading3"/>
      </w:pPr>
      <w:r>
        <w:t xml:space="preserve">Patient-level severe-irAE transcriptomes supported phenotype measurability</w:t>
      </w:r>
    </w:p>
    <w:p>
      <w:pPr>
        <w:pStyle w:val="FirstParagraph"/>
      </w:pPr>
      <w:r>
        <w:t xml:space="preserve">The patient-level validation cohort contained 60 melanoma PBMC bulk RNA-seq samples with usable highest irAE grade labels: 21 severe irAE samples and 39 grade 0-2 samples. Across 11 locked signatures, 4 remained significant at FDR &lt;0.05. The leading associations were cytotoxicity delta 0.664, q=0.0213; tam m2 delta 0.613, q=0.0213; antigen presentation mhc2 delta 0.754, q=0.0213; b cell context delta 0.522, q=0.0362. Leave-one-sample analysis did not reverse the severe-minus-non-severe direction for 11 of 11 signatures. Therapy-type sensitivity was descriptive because severe irAE was concentrated in combination-treated samples, while anti-PD-1 severe-irAE counts were sparse.</w:t>
      </w:r>
    </w:p>
    <w:p>
      <w:pPr>
        <w:pStyle w:val="BodyText"/>
      </w:pPr>
      <w:r>
        <w:t xml:space="preserve">These results do not estimate lymphoma-versus-solid causality. Their value is different: they show that toxicity phenotypes are biologically measurable when patient-level labels exist. This converts the manuscript from an endpoint-audit study into a translational evidence analysis linking aggregate estimability with patient-level molecular validation.</w:t>
      </w:r>
    </w:p>
    <w:bookmarkEnd w:id="23"/>
    <w:bookmarkStart w:id="24" w:name="X2b7a761bcc9d47ef18e3d08a616f9c070eb5028"/>
    <w:p>
      <w:pPr>
        <w:pStyle w:val="Heading3"/>
      </w:pPr>
      <w:r>
        <w:t xml:space="preserve">The phenotype interpretation standard converted limitations into future study requirements</w:t>
      </w:r>
    </w:p>
    <w:p>
      <w:pPr>
        <w:pStyle w:val="FirstParagraph"/>
      </w:pPr>
      <w:r>
        <w:t xml:space="preserve">The final output is a toxicity phenotype interpretation standard. Broad high-grade treatment-related safety burden requires grade threshold, attribution rules, denominator and regimen architecture. Strict organ-specific irAE requires organ, grade, denominator, event count and irAE adjudication. Patient-level severe-irAE biomarker phenotypes require toxicity labels linked to molecular profiles. Steroid-sensitive inflammatory programs require either paired perturbation data for biological plausibility or patient-level steroid timing, dose and outcome fields for clinical mediation testing. This standard explains what can be concluded now and what future studies must measure.</w:t>
      </w:r>
    </w:p>
    <w:bookmarkEnd w:id="24"/>
    <w:bookmarkEnd w:id="25"/>
    <w:bookmarkStart w:id="26" w:name="discussion"/>
    <w:p>
      <w:pPr>
        <w:pStyle w:val="Heading2"/>
      </w:pPr>
      <w:r>
        <w:t xml:space="preserve">Discussion</w:t>
      </w:r>
    </w:p>
    <w:p>
      <w:pPr>
        <w:pStyle w:val="FirstParagraph"/>
      </w:pPr>
      <w:r>
        <w:t xml:space="preserve">This study upgrades a difficult lymphoma-versus-solid tumor toxicity question into a phenotype-specific translational evidence analysis. The central finding is not that one tumor lineage has intrinsically more immune toxicity. The central finding is that the answer changes depending on which toxicity phenotype is measured. Broad high-grade treatment-related toxicity shows a visible but heterogeneous safety-burden contrast. Strict organ-specific inflammatory irAE is mostly not estimable from public aggregate data. Patient-level melanoma transcriptomes show that severe irAE has measurable immune correlates when harmonized toxicity labels are available.</w:t>
      </w:r>
    </w:p>
    <w:p>
      <w:pPr>
        <w:pStyle w:val="BodyText"/>
      </w:pPr>
      <w:r>
        <w:t xml:space="preserve">This distinction matters clinically. Broad high-grade treatment-related AE is relevant for treatment counseling, regimen selection and supportive-care planning, but it is not a pure inflammatory irAE endpoint. Strict organ-specific irAE is more relevant for immune-toxicity biology and organ-specific risk prediction, but the public aggregate evidence is sparse and source-concentrated. Architecture-associated toxicity is clinically useful for interpreting combination regimens, but aggregate arm-level data cannot identify causal timing effects. Patient-level biomarker validation is translationally informative, but melanoma-only data cannot settle cross-lineage causality.</w:t>
      </w:r>
    </w:p>
    <w:p>
      <w:pPr>
        <w:pStyle w:val="BodyText"/>
      </w:pPr>
      <w:r>
        <w:t xml:space="preserve">The patient-level validation layer, anchored to a published melanoma irAE molecular study [34], is the most important scientific strengthening relative to a pure evidence framework. It shows that phenotype decomposition is not only a reporting exercise. Severe irAE is associated with immune programs related to cytotoxicity, TAM/M2-like inflammation, MHC-II antigen presentation and B-cell context after FDR control. These associations are exploratory and therapy-confounded, but they demonstrate the feasibility and value of linking toxicity labels to molecular profiles. Future studies can extend this design across tumor types and regimens.</w:t>
      </w:r>
    </w:p>
    <w:p>
      <w:pPr>
        <w:pStyle w:val="BodyText"/>
      </w:pPr>
      <w:r>
        <w:t xml:space="preserve">The lymphoma setting should be interpreted as an immune-context remodeling case rather than as a simple low-immune comparator. Lymphoma trials often differ from solid-tumor ICI trials in disease biology, prior therapy, regimen architecture, steroid exposure context, endpoint terminology and source availability. These factors can change which toxicity phenotype is observed. The current evidence therefore supports hypothesis generation and study design, not intrinsic lineage conclusions.</w:t>
      </w:r>
    </w:p>
    <w:p>
      <w:pPr>
        <w:pStyle w:val="BodyText"/>
      </w:pPr>
      <w:r>
        <w:t xml:space="preserve">The study has limitations. The aggregate registry depends on public source reporting and inherits heterogeneity in follow-up, attribution, grade thresholds and endpoint definitions. Pooled high-grade treatment-related AE estimates have high heterogeneity and broad prediction intervals. Organ-specific strict irAE strata are frequently sparse. The patient-level validation cohort is melanoma-only, and severe irAE status is imbalanced by therapy type. Transcriptomic signatures were locked and biologically motivated, but they are not a substitute for prospective adjudicated irAE phenotyping. Steroid-sensitive perturbation evidence supports biology but not patient-level clinical mediation.</w:t>
      </w:r>
    </w:p>
    <w:p>
      <w:pPr>
        <w:pStyle w:val="BodyText"/>
      </w:pPr>
      <w:r>
        <w:t xml:space="preserve">The practical implication is that future ICI safety studies should define the toxicity phenotype before estimating cross-tumor differences. A definitive patient-level study would require harmonized time zero, tumor type, ICI class, regimen architecture, line of therapy, organ-specific irAE adjudication, grade, onset time, management, steroid timing/dose/duration, recurrence, follow-up and immune-context biomarkers. Without these fields, aggregate evidence can identify broad safety-burden patterns but cannot resolve strict inflammatory or causal questions.</w:t>
      </w:r>
    </w:p>
    <w:p>
      <w:pPr>
        <w:pStyle w:val="BodyText"/>
      </w:pPr>
      <w:r>
        <w:t xml:space="preserve">In conclusion, ICI toxicity is best treated as a decomposable phenotype space rather than a single incidence endpoint. Public aggregate evidence supports a broad high-grade safety-burden contrast and reveals that strict organ-specific irAE lineage comparison is mostly non-estimable. Patient-level irAE-linked transcriptomic data support biological measurability of severe-irAE phenotypes. The appropriate contribution is a translational evidence model for interpreting and designing future cross-tumor ICI toxicity studies.</w:t>
      </w:r>
    </w:p>
    <w:bookmarkEnd w:id="26"/>
    <w:bookmarkStart w:id="27" w:name="data-and-code-availability"/>
    <w:p>
      <w:pPr>
        <w:pStyle w:val="Heading2"/>
      </w:pPr>
      <w:r>
        <w:t xml:space="preserve">Data and Code Availability</w:t>
      </w:r>
    </w:p>
    <w:p>
      <w:pPr>
        <w:pStyle w:val="FirstParagraph"/>
      </w:pPr>
      <w:r>
        <w:t xml:space="preserve">This v3.2 version was generated from locked local files and public source data in</w:t>
      </w:r>
      <w:r>
        <w:t xml:space="preserve"> </w:t>
      </w:r>
      <w:r>
        <w:rPr>
          <w:rStyle w:val="VerbatimChar"/>
        </w:rPr>
        <w:t xml:space="preserve">/Users/guoxutao/ici_irAE_meta_review</w:t>
      </w:r>
      <w:r>
        <w:t xml:space="preserve">. The aggregate source registry, endpoint-compatible pooled estimates, organ-specific irAE compatibility audit, toxicity phenotype interpretation standard and patient-level validation outputs are listed in the Supplementary Materials Index. The patient-level external validation layer used GEO GSE186144/GSE186143. A public repository URL or DOI has not yet been assigned; before portal submission, the submitting authors should either deposit the locked package in a public repository or revise this statement to match the journal’s access policy.</w:t>
      </w:r>
    </w:p>
    <w:bookmarkEnd w:id="27"/>
    <w:bookmarkStart w:id="28" w:name="ethics-and-reporting"/>
    <w:p>
      <w:pPr>
        <w:pStyle w:val="Heading2"/>
      </w:pPr>
      <w:r>
        <w:t xml:space="preserve">Ethics and Reporting</w:t>
      </w:r>
    </w:p>
    <w:p>
      <w:pPr>
        <w:pStyle w:val="FirstParagraph"/>
      </w:pPr>
      <w:r>
        <w:t xml:space="preserve">This study used published aggregate source information and public de-identified transcriptomic data. No new patient recruitment, intervention or access to identifiable individual data was performed for this secondary analysis. Final institutional review or exemption wording should be confirmed by the submitting authors according to local policy before journal upload.</w:t>
      </w:r>
    </w:p>
    <w:bookmarkEnd w:id="28"/>
    <w:bookmarkStart w:id="29" w:name="references"/>
    <w:p>
      <w:pPr>
        <w:pStyle w:val="Heading2"/>
      </w:pPr>
      <w:r>
        <w:t xml:space="preserve">References</w:t>
      </w:r>
    </w:p>
    <w:p>
      <w:pPr>
        <w:pStyle w:val="Compact"/>
        <w:numPr>
          <w:ilvl w:val="0"/>
          <w:numId w:val="1001"/>
        </w:numPr>
      </w:pPr>
      <w:r>
        <w:t xml:space="preserve">Borghaei H, Paz-Ares L, Horn L, Spigel DR, Steins M, Ready NE, et al. Nivolumab versus Docetaxel in Advanced Nonsquamous Non-Small-Cell Lung Cancer. New England Journal of Medicine. 2015;373(17):1627-1639. doi:10.1056/nejmoa1507643</w:t>
      </w:r>
    </w:p>
    <w:p>
      <w:pPr>
        <w:pStyle w:val="Compact"/>
        <w:numPr>
          <w:ilvl w:val="0"/>
          <w:numId w:val="1001"/>
        </w:numPr>
      </w:pPr>
      <w:r>
        <w:t xml:space="preserve">Brahmer J, Reckamp KL, Baas P, Crino L, Eberhardt WEE, Poddubskaya E, et al. Nivolumab versus Docetaxel in Advanced Squamous-Cell Non-Small-Cell Lung Cancer. New England Journal of Medicine. 2015;373(2):123-135. doi:10.1056/nejmoa1504627</w:t>
      </w:r>
    </w:p>
    <w:p>
      <w:pPr>
        <w:pStyle w:val="Compact"/>
        <w:numPr>
          <w:ilvl w:val="0"/>
          <w:numId w:val="1001"/>
        </w:numPr>
      </w:pPr>
      <w:r>
        <w:t xml:space="preserve">Larkin J, Chiarion-Sileni V, Gonzalez R, Grob JJ, Cowey CL, Lao CD, et al. Combined Nivolumab and Ipilimumab or Monotherapy in Untreated Melanoma. New England Journal of Medicine. 2015;373(1):23-34. doi:10.1056/nejmoa1504030</w:t>
      </w:r>
    </w:p>
    <w:p>
      <w:pPr>
        <w:pStyle w:val="Compact"/>
        <w:numPr>
          <w:ilvl w:val="0"/>
          <w:numId w:val="1001"/>
        </w:numPr>
      </w:pPr>
      <w:r>
        <w:t xml:space="preserve">Robert C, Schachter J, Long GV, Arance A, Grob JJ, Mortier L, et al. Pembrolizumab versus Ipilimumab in Advanced Melanoma. New England Journal of Medicine. 2015;372(26):2521-2532. doi:10.1056/nejmoa1503093</w:t>
      </w:r>
    </w:p>
    <w:p>
      <w:pPr>
        <w:pStyle w:val="Compact"/>
        <w:numPr>
          <w:ilvl w:val="0"/>
          <w:numId w:val="1001"/>
        </w:numPr>
      </w:pPr>
      <w:r>
        <w:t xml:space="preserve">Reck M, Rodriguez-Abreu D, Robinson AG, Hui R, Csoszi T, Fulop A, et al. Pembrolizumab versus Chemotherapy for PD-L1-Positive Non-Small-Cell Lung Cancer. New England Journal of Medicine. 2016;375(19):1823-1833. doi:10.1056/nejmoa1606774</w:t>
      </w:r>
    </w:p>
    <w:p>
      <w:pPr>
        <w:pStyle w:val="Compact"/>
        <w:numPr>
          <w:ilvl w:val="0"/>
          <w:numId w:val="1001"/>
        </w:numPr>
      </w:pPr>
      <w:r>
        <w:t xml:space="preserve">Antonia SJ, Villegas A, Daniel D, Vicente D, Murakami S, Hui R, et al. Durvalumab after Chemoradiotherapy in Stage III Non-Small-Cell Lung Cancer. New England Journal of Medicine. 2017;377(20):1919-1929. doi:10.1056/nejmoa1709937</w:t>
      </w:r>
    </w:p>
    <w:p>
      <w:pPr>
        <w:pStyle w:val="Compact"/>
        <w:numPr>
          <w:ilvl w:val="0"/>
          <w:numId w:val="1001"/>
        </w:numPr>
      </w:pPr>
      <w:r>
        <w:t xml:space="preserve">Gandhi L, Rodriguez-Abreu D, Gadgeel S, Esteban E, Felip E, De Angelis F, et al. Pembrolizumab plus Chemotherapy in Metastatic Non-Small-Cell Lung Cancer. New England Journal of Medicine. 2018;378(22):2078-2092. doi:10.1056/nejmoa1801005</w:t>
      </w:r>
    </w:p>
    <w:p>
      <w:pPr>
        <w:pStyle w:val="Compact"/>
        <w:numPr>
          <w:ilvl w:val="0"/>
          <w:numId w:val="1001"/>
        </w:numPr>
      </w:pPr>
      <w:r>
        <w:t xml:space="preserve">Motzer RJ, Tannir NM, McDermott DF, Aren Frontera O, Melichar B, Choueiri TK, et al. Nivolumab plus Ipilimumab versus Sunitinib in Advanced Renal-Cell Carcinoma. New England Journal of Medicine. 2018;378(14):1277-1290. doi:10.1056/nejmoa1712126</w:t>
      </w:r>
    </w:p>
    <w:p>
      <w:pPr>
        <w:pStyle w:val="Compact"/>
        <w:numPr>
          <w:ilvl w:val="0"/>
          <w:numId w:val="1001"/>
        </w:numPr>
      </w:pPr>
      <w:r>
        <w:t xml:space="preserve">Paz-Ares L, Luft A, Vicente D, Tafreshi A, Gumus M, Mazieres J, et al. Pembrolizumab plus Chemotherapy for Squamous Non-Small-Cell Lung Cancer. New England Journal of Medicine. 2018;379(21):2040-2051. doi:10.1056/nejmoa1810865</w:t>
      </w:r>
    </w:p>
    <w:p>
      <w:pPr>
        <w:pStyle w:val="Compact"/>
        <w:numPr>
          <w:ilvl w:val="0"/>
          <w:numId w:val="1001"/>
        </w:numPr>
      </w:pPr>
      <w:r>
        <w:t xml:space="preserve">Ramchandren R, Domingo-Domenech E, Rueda A, Trneny M, Feldman TA, Lee HJ, et al. Nivolumab for Newly Diagnosed Advanced-Stage Classic Hodgkin Lymphoma: Safety and Efficacy in the Phase II CheckMate 205 Study. Journal of Clinical Oncology. 2019;37(23):1997-2007. doi:10.1200/jco.19.00315</w:t>
      </w:r>
    </w:p>
    <w:p>
      <w:pPr>
        <w:pStyle w:val="Compact"/>
        <w:numPr>
          <w:ilvl w:val="0"/>
          <w:numId w:val="1001"/>
        </w:numPr>
      </w:pPr>
      <w:r>
        <w:t xml:space="preserve">Rini BI, Plimack ER, Stus V, Gafanov R, Hawkins R, Nosov D, et al. Pembrolizumab plus Axitinib versus Sunitinib for Advanced Renal-Cell Carcinoma. New England Journal of Medicine. 2019;380(12):1116-1127. doi:10.1056/nejmoa1816714</w:t>
      </w:r>
    </w:p>
    <w:p>
      <w:pPr>
        <w:pStyle w:val="Compact"/>
        <w:numPr>
          <w:ilvl w:val="0"/>
          <w:numId w:val="1001"/>
        </w:numPr>
      </w:pPr>
      <w:r>
        <w:t xml:space="preserve">Finn RS, Qin S, Ikeda M, Galle PR, Ducreux M, Kim TY, et al. Atezolizumab plus Bevacizumab in Unresectable Hepatocellular Carcinoma. New England Journal of Medicine. 2020;382(20):1894-1905. doi:10.1056/nejmoa1915745</w:t>
      </w:r>
    </w:p>
    <w:p>
      <w:pPr>
        <w:pStyle w:val="Compact"/>
        <w:numPr>
          <w:ilvl w:val="0"/>
          <w:numId w:val="1001"/>
        </w:numPr>
      </w:pPr>
      <w:r>
        <w:t xml:space="preserve">Powles T, Park SH, Voog E, Caserta C, Valderrama BP, Gurney H, et al. Avelumab Maintenance Therapy for Advanced or Metastatic Urothelial Carcinoma. New England Journal of Medicine. 2020;383(13):1218-1230. doi:10.1056/nejmoa2002788</w:t>
      </w:r>
    </w:p>
    <w:p>
      <w:pPr>
        <w:pStyle w:val="Compact"/>
        <w:numPr>
          <w:ilvl w:val="0"/>
          <w:numId w:val="1001"/>
        </w:numPr>
      </w:pPr>
      <w:r>
        <w:t xml:space="preserve">Schmid P, Cortes J, Pusztai L, McArthur H, Kummel S, Bergh J, et al. Pembrolizumab for Early Triple-Negative Breast Cancer. New England Journal of Medicine. 2020;382(9):810-821. doi:10.1056/nejmoa1910549</w:t>
      </w:r>
    </w:p>
    <w:p>
      <w:pPr>
        <w:pStyle w:val="Compact"/>
        <w:numPr>
          <w:ilvl w:val="0"/>
          <w:numId w:val="1001"/>
        </w:numPr>
      </w:pPr>
      <w:r>
        <w:t xml:space="preserve">Allen PB, Savas H, Evens AM, Advani RH, Palmer B, Pro B, et al. Pembrolizumab followed by AVD in untreated early unfavorable and advanced-stage classical Hodgkin lymphoma. Blood. 2021;137(10):1318-1326. doi:10.1182/blood.2020007400</w:t>
      </w:r>
    </w:p>
    <w:p>
      <w:pPr>
        <w:pStyle w:val="Compact"/>
        <w:numPr>
          <w:ilvl w:val="0"/>
          <w:numId w:val="1001"/>
        </w:numPr>
      </w:pPr>
      <w:r>
        <w:t xml:space="preserve">Choueiri TK, Tomczak P, Park SH, Venugopal B, Ferguson T, Chang YH, et al. Adjuvant Pembrolizumab after Nephrectomy in Renal-Cell Carcinoma. New England Journal of Medicine. 2021;385(8):683-694. doi:10.1056/nejmoa2106391</w:t>
      </w:r>
    </w:p>
    <w:p>
      <w:pPr>
        <w:pStyle w:val="Compact"/>
        <w:numPr>
          <w:ilvl w:val="0"/>
          <w:numId w:val="1001"/>
        </w:numPr>
      </w:pPr>
      <w:r>
        <w:t xml:space="preserve">Janjigian YY, Shitara K, Moehler M, Garrido M, Salman P, Shen L, et al. First-line nivolumab plus chemotherapy versus chemotherapy alone for advanced gastric, gastro-oesophageal junction, and oesophageal adenocarcinoma (CheckMate 649): a randomised, open-label, phase 3 trial. The Lancet. 2021;398(10294):27-40. doi:10.1016/s0140-6736(21)00797-2</w:t>
      </w:r>
    </w:p>
    <w:p>
      <w:pPr>
        <w:pStyle w:val="Compact"/>
        <w:numPr>
          <w:ilvl w:val="0"/>
          <w:numId w:val="1001"/>
        </w:numPr>
      </w:pPr>
      <w:r>
        <w:t xml:space="preserve">Kuruvilla J, Ramchandren R, Santoro A, Paszkiewicz-Kozik E, Gasiorowski R, Johnson NA, et al. Pembrolizumab versus brentuximab vedotin in relapsed or refractory classical Hodgkin lymphoma (KEYNOTE-204): an interim analysis of a multicentre, randomised, open-label, phase 3 study. The Lancet Oncology. 2021;22(4):512-524. doi:10.1016/s1470-2045(21)00005-x</w:t>
      </w:r>
    </w:p>
    <w:p>
      <w:pPr>
        <w:pStyle w:val="Compact"/>
        <w:numPr>
          <w:ilvl w:val="0"/>
          <w:numId w:val="1001"/>
        </w:numPr>
      </w:pPr>
      <w:r>
        <w:t xml:space="preserve">Moskowitz AJ, Shah G, Schoder H, Ganesan N, Drill E, Hancock H, et al. Phase II Trial of Pembrolizumab Plus Gemcitabine, Vinorelbine, and Liposomal Doxorubicin as Second-Line Therapy for Relapsed or Refractory Classical Hodgkin Lymphoma. Journal of Clinical Oncology. 2021;39(28):3109-3117. doi:10.1200/jco.21.01056</w:t>
      </w:r>
    </w:p>
    <w:p>
      <w:pPr>
        <w:pStyle w:val="Compact"/>
        <w:numPr>
          <w:ilvl w:val="0"/>
          <w:numId w:val="1001"/>
        </w:numPr>
      </w:pPr>
      <w:r>
        <w:t xml:space="preserve">Paz-Ares L, Ciuleanu TE, Cobo M, Schenker M, Zurawski B, Menezes J, et al. First-line nivolumab plus ipilimumab combined with two cycles of chemotherapy in patients with non-small-cell lung cancer (CheckMate 9LA): an international, randomised, open-label, phase 3 trial. The Lancet Oncology. 2021;22(2):198-211. doi:10.1016/s1470-2045(20)30641-0</w:t>
      </w:r>
    </w:p>
    <w:p>
      <w:pPr>
        <w:pStyle w:val="Compact"/>
        <w:numPr>
          <w:ilvl w:val="0"/>
          <w:numId w:val="1001"/>
        </w:numPr>
      </w:pPr>
      <w:r>
        <w:t xml:space="preserve">Satouchi M, Nosaki K, Takahashi T, Nakagawa K, Aoe K, Kurata T, et al. First-line pembrolizumab vs chemotherapy in metastatic non-small-cell lung cancer: KEYNOTE-024 Japan subset. Cancer Science. 2021;112(12):5000-5010. doi:10.1111/cas.15144</w:t>
      </w:r>
    </w:p>
    <w:p>
      <w:pPr>
        <w:pStyle w:val="Compact"/>
        <w:numPr>
          <w:ilvl w:val="0"/>
          <w:numId w:val="1001"/>
        </w:numPr>
      </w:pPr>
      <w:r>
        <w:t xml:space="preserve">Sezer A, Kilickap S, Gumus M, Bondarenko I, Ozguroglu M, Gogishvili M, et al. Cemiplimab monotherapy for first-line treatment of advanced non-small-cell lung cancer with PD-L1 of at least 50%: a multicentre, open-label, global, phase 3, randomised, controlled trial. The Lancet. 2021;397(10274):592-604. doi:10.1016/s0140-6736(21)00228-2</w:t>
      </w:r>
    </w:p>
    <w:p>
      <w:pPr>
        <w:pStyle w:val="Compact"/>
        <w:numPr>
          <w:ilvl w:val="0"/>
          <w:numId w:val="1001"/>
        </w:numPr>
      </w:pPr>
      <w:r>
        <w:t xml:space="preserve">Sun JM, Shen L, Shah MA, Enzinger P, Adenis A, Doi T, et al. Pembrolizumab plus chemotherapy versus chemotherapy alone for first-line treatment of advanced oesophageal cancer (KEYNOTE-590): a randomised, placebo-controlled, phase 3 study. The Lancet. 2021;398(10302):759-771. doi:10.1016/s0140-6736(21)01234-4</w:t>
      </w:r>
    </w:p>
    <w:p>
      <w:pPr>
        <w:pStyle w:val="Compact"/>
        <w:numPr>
          <w:ilvl w:val="0"/>
          <w:numId w:val="1001"/>
        </w:numPr>
      </w:pPr>
      <w:r>
        <w:t xml:space="preserve">Forde PM, Spicer J, Lu S, Provencio M, Mitsudomi T, Awad MM, et al. Neoadjuvant Nivolumab plus Chemotherapy in Resectable Lung Cancer. New England Journal of Medicine. 2022;386(21):1973-1985. doi:10.1056/nejmoa2202170</w:t>
      </w:r>
    </w:p>
    <w:p>
      <w:pPr>
        <w:pStyle w:val="Compact"/>
        <w:numPr>
          <w:ilvl w:val="0"/>
          <w:numId w:val="1001"/>
        </w:numPr>
      </w:pPr>
      <w:r>
        <w:t xml:space="preserve">Gogishvili M, Melkadze T, Makharadze T, Giorgadze D, Dvorkin M, Penkov K, et al. Cemiplimab plus chemotherapy versus chemotherapy alone in non-small cell lung cancer: a randomized, controlled, double-blind phase 3 trial. Nature Medicine. 2022;28(11):2374-2380. doi:10.1038/s41591-022-01977-y</w:t>
      </w:r>
    </w:p>
    <w:p>
      <w:pPr>
        <w:pStyle w:val="Compact"/>
        <w:numPr>
          <w:ilvl w:val="0"/>
          <w:numId w:val="1001"/>
        </w:numPr>
      </w:pPr>
      <w:r>
        <w:t xml:space="preserve">Makker V, Colombo N, Casado Herraez A, Santin AD, Colomba E, Miller DS, et al. Lenvatinib plus Pembrolizumab for Advanced Endometrial Cancer. New England Journal of Medicine. 2022;386(5):437-448. doi:10.1056/nejmoa2108330</w:t>
      </w:r>
    </w:p>
    <w:p>
      <w:pPr>
        <w:pStyle w:val="Compact"/>
        <w:numPr>
          <w:ilvl w:val="0"/>
          <w:numId w:val="1001"/>
        </w:numPr>
      </w:pPr>
      <w:r>
        <w:t xml:space="preserve">Mei MG, Lee HJ, Palmer JM, Chen R, Tsai NC, Chen L, et al. Response-adapted anti-PD-1-based salvage therapy for Hodgkin lymphoma with nivolumab alone or in combination with ICE. Blood. 2022;139(25):3605-3616. doi:10.1182/blood.2022015423</w:t>
      </w:r>
    </w:p>
    <w:p>
      <w:pPr>
        <w:pStyle w:val="Compact"/>
        <w:numPr>
          <w:ilvl w:val="0"/>
          <w:numId w:val="1001"/>
        </w:numPr>
      </w:pPr>
      <w:r>
        <w:t xml:space="preserve">Naidoo J, Vansteenkiste JF, Faivre-Finn C, Ozguroglu M, Murakami S, Hui R, et al. Characterizing immune-mediated adverse events with durvalumab in patients with unresectable stage III NSCLC: A post-hoc analysis of the PACIFIC trial. Lung Cancer. 2022;166:84-93. doi:10.1016/j.lungcan.2022.02.003</w:t>
      </w:r>
    </w:p>
    <w:p>
      <w:pPr>
        <w:pStyle w:val="Compact"/>
        <w:numPr>
          <w:ilvl w:val="0"/>
          <w:numId w:val="1001"/>
        </w:numPr>
      </w:pPr>
      <w:r>
        <w:t xml:space="preserve">Armand P, Zinzani PL, Lee HJ, Johnson NA, Brice P, Radford J, et al. Five-year follow-up of KEYNOTE-087: pembrolizumab monotherapy for relapsed/refractory classical Hodgkin lymphoma. Blood. 2023;142(10):878-886. doi:10.1182/blood.2022019386</w:t>
      </w:r>
    </w:p>
    <w:p>
      <w:pPr>
        <w:pStyle w:val="Compact"/>
        <w:numPr>
          <w:ilvl w:val="0"/>
          <w:numId w:val="1001"/>
        </w:numPr>
      </w:pPr>
      <w:r>
        <w:t xml:space="preserve">Garassino MC, Gadgeel S, Speranza G, Felip E, Esteban E, Domine M, et al. Pembrolizumab Plus Pemetrexed and Platinum in Nonsquamous Non-Small-Cell Lung Cancer: 5-Year Outcomes From the Phase 3 KEYNOTE-189 Study. Journal of Clinical Oncology. 2023;41(11):1992-1998. doi:10.1200/jco.22.01989</w:t>
      </w:r>
    </w:p>
    <w:p>
      <w:pPr>
        <w:pStyle w:val="Compact"/>
        <w:numPr>
          <w:ilvl w:val="0"/>
          <w:numId w:val="1001"/>
        </w:numPr>
      </w:pPr>
      <w:r>
        <w:t xml:space="preserve">Novello S, Kowalski DM, Luft A, Gumus M, Vicente D, Mazieres J, et al. Pembrolizumab Plus Chemotherapy in Squamous Non-Small-Cell Lung Cancer: 5-Year Update of the Phase III KEYNOTE-407 Study. Journal of Clinical Oncology. 2023;41(11):1999-2006. doi:10.1200/jco.22.01990</w:t>
      </w:r>
    </w:p>
    <w:p>
      <w:pPr>
        <w:pStyle w:val="Compact"/>
        <w:numPr>
          <w:ilvl w:val="0"/>
          <w:numId w:val="1001"/>
        </w:numPr>
      </w:pPr>
      <w:r>
        <w:t xml:space="preserve">Zinzani PL, Thieblemont C, Melnichenko V, Bouabdallah K, Walewski J, Majlis A, et al. Pembrolizumab in Relapsed or Refractory Primary Mediastinal Large B-Cell Lymphoma: Final Analysis of KEYNOTE-170. Blood. 2023. doi:10.1182/blood.2022019340</w:t>
      </w:r>
    </w:p>
    <w:p>
      <w:pPr>
        <w:pStyle w:val="Compact"/>
        <w:numPr>
          <w:ilvl w:val="0"/>
          <w:numId w:val="1001"/>
        </w:numPr>
      </w:pPr>
      <w:r>
        <w:t xml:space="preserve">Park SH, Chang YH, Lee JL, Choueiri TK, Kimura G, Chung J, et al. Adjuvant Pembrolizumab Versus Placebo for Renal Cell Carcinoma in the East Asian Subgroup of the Phase 3 KEYNOTE-564 Study. Cancer Research and Treatment. 2026;58(2):613-621. doi:10.4143/crt.2025.365</w:t>
      </w:r>
    </w:p>
    <w:p>
      <w:pPr>
        <w:pStyle w:val="Compact"/>
        <w:numPr>
          <w:ilvl w:val="0"/>
          <w:numId w:val="1001"/>
        </w:numPr>
      </w:pPr>
      <w:r>
        <w:t xml:space="preserve">Lozano AX, Chaudhuri AA, Nene A, Bacchiocchi A, Earland N, Vesely MD, et al. T cell characteristics associated with toxicity to immune checkpoint blockade in patients with melanoma. Nature Medicine. 2022;28(2):353-362. doi:10.1038/s41591-021-01623-z</w:t>
      </w:r>
    </w:p>
    <w:p>
      <w:pPr>
        <w:pStyle w:val="Compact"/>
        <w:numPr>
          <w:ilvl w:val="0"/>
          <w:numId w:val="1001"/>
        </w:numPr>
      </w:pPr>
      <w:r>
        <w:t xml:space="preserve">Haanen J, Obeid M, Spain L, Carbonnel F, Wang Y, Robert C, et al. Management of toxicities from immunotherapy: ESMO Clinical Practice Guideline for diagnosis, treatment and follow-up. Annals of Oncology. 2022;33(12):1217-1238. doi:10.1016/j.annonc.2022.10.001</w:t>
      </w:r>
    </w:p>
    <w:p>
      <w:pPr>
        <w:pStyle w:val="Compact"/>
        <w:numPr>
          <w:ilvl w:val="0"/>
          <w:numId w:val="1001"/>
        </w:numPr>
      </w:pPr>
      <w:r>
        <w:t xml:space="preserve">Schneider BJ, Naidoo J, Santomasso BD, Lacchetti C, Adkins S, Anadkat M, et al. Management of Immune-Related Adverse Events in Patients Treated with Immune Checkpoint Inhibitor Therapy: ASCO Guideline Update. Journal of Clinical Oncology. 2021;39(36):4073-4126. doi:10.1200/JCO.21.01440</w:t>
      </w:r>
    </w:p>
    <w:p>
      <w:pPr>
        <w:pStyle w:val="Compact"/>
        <w:numPr>
          <w:ilvl w:val="0"/>
          <w:numId w:val="1001"/>
        </w:numPr>
      </w:pPr>
      <w:r>
        <w:t xml:space="preserve">Brahmer JR, Abu-Sbeih H, Ascierto PA, Brufsky J, Cappelli LC, Cortazar FB, et al. Society for Immunotherapy of Cancer (SITC) clinical practice guideline on immune checkpoint inhibitor-related adverse events. Journal for ImmunoTherapy of Cancer. 2021;9(6):e002435. doi:10.1136/jitc-2021-002435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2026-06-28T01:59:53Z</dcterms:created>
  <dcterms:modified xsi:type="dcterms:W3CDTF">2026-06-28T01:59:53Z</dcterms:modified>
</cp:coreProperties>
</file>

<file path=docProps/custom.xml><?xml version="1.0" encoding="utf-8"?>
<Properties xmlns="http://schemas.openxmlformats.org/officeDocument/2006/custom-properties" xmlns:vt="http://schemas.openxmlformats.org/officeDocument/2006/docPropsVTypes"/>
</file>