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rPr>
          <w:b w:val="0"/>
        </w:rPr>
        <w:t>Dear Editors,</w:t>
      </w:r>
    </w:p>
    <w:p>
      <w:r>
        <w:rPr>
          <w:b w:val="0"/>
        </w:rPr>
        <w:t>We submit the manuscript titled "An Endpoint-Aware Evidence Framework for Interpreting Immune Checkpoint Inhibitor Toxicity Across Lymphoma and Solid Tumors" for consideration as Original Research in Journal for ImmunoTherapy of Cancer.</w:t>
      </w:r>
    </w:p>
    <w:p>
      <w:r>
        <w:rPr>
          <w:b w:val="0"/>
        </w:rPr>
        <w:t>The manuscript addresses a practical problem in immunotherapy safety interpretation: cross-tumor ICI toxicity comparisons are often distorted when non-exchangeable endpoints are pooled. Rather than presenting a definitive lineage-causality claim, the study provides a reproducible endpoint taxonomy, source-tier audit, endpoint comparability index, claim gate and prospective safety-reporting standard.</w:t>
      </w:r>
    </w:p>
    <w:p>
      <w:r>
        <w:rPr>
          <w:b w:val="0"/>
        </w:rPr>
        <w:t>The submission is intentionally bounded. It does not claim intrinsic lymphoma protection from ICI toxicity, definitive lineage-wide organ-specific irAE differences, chemotherapy-timing causality or clinical steroid mediation. Instead, it separates primary endpoint-compatible evidence from sensitivity-only, audit/context and non-estimable layers.</w:t>
      </w:r>
    </w:p>
    <w:p>
      <w:r>
        <w:rPr>
          <w:b w:val="0"/>
        </w:rPr>
        <w:t>AUTHOR TO COMPLETE: confirm exclusivity, prior dissemination/preprint status, conflicts of interest and suggested/excluded reviewers if requested by the portal.</w:t>
      </w:r>
    </w:p>
    <w:p>
      <w:r>
        <w:rPr>
          <w:b w:val="0"/>
        </w:rPr>
        <w:t>Sincerely,</w:t>
      </w:r>
    </w:p>
    <w:p>
      <w:r>
        <w:rPr>
          <w:b w:val="0"/>
        </w:rPr>
        <w:t>AUTHOR TO COMPLETE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