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Adapted Reporting Checklist for Endpoint-Aware ICI Toxicity Evidence Synthesis</w:t>
      </w:r>
    </w:p>
    <w:p>
      <w:r>
        <w:rPr>
          <w:b w:val="0"/>
        </w:rPr>
        <w:t>This checklist adapts PRISMA/MOOSE-style reporting concepts to an endpoint-aware, claim-gated evidence framework. It is not a conventional single-endpoint systematic review checklist.</w:t>
      </w:r>
    </w:p>
    <w:p>
      <w:r>
        <w:rPr>
          <w:b/>
        </w:rPr>
        <w:t>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domain</w:t>
            </w:r>
          </w:p>
        </w:tc>
        <w:tc>
          <w:tcPr>
            <w:tcW w:type="dxa" w:w="3120"/>
          </w:tcPr>
          <w:p>
            <w:r>
              <w:t>v1.5 implementation</w:t>
            </w:r>
          </w:p>
        </w:tc>
        <w:tc>
          <w:tcPr>
            <w:tcW w:type="dxa" w:w="3120"/>
          </w:tcPr>
          <w:p>
            <w:r>
              <w:t>location</w:t>
            </w:r>
          </w:p>
        </w:tc>
      </w:tr>
      <w:tr>
        <w:tc>
          <w:tcPr>
            <w:tcW w:type="dxa" w:w="3120"/>
          </w:tcPr>
          <w:p>
            <w:r>
              <w:t>Title/abstract</w:t>
            </w:r>
          </w:p>
        </w:tc>
        <w:tc>
          <w:tcPr>
            <w:tcW w:type="dxa" w:w="3120"/>
          </w:tcPr>
          <w:p>
            <w:r>
              <w:t>Identifies endpoint-aware evidence framework and bounded inference.</w:t>
            </w:r>
          </w:p>
        </w:tc>
        <w:tc>
          <w:tcPr>
            <w:tcW w:type="dxa" w:w="3120"/>
          </w:tcPr>
          <w:p>
            <w:r>
              <w:t>Main manuscript</w:t>
            </w:r>
          </w:p>
        </w:tc>
      </w:tr>
      <w:tr>
        <w:tc>
          <w:tcPr>
            <w:tcW w:type="dxa" w:w="3120"/>
          </w:tcPr>
          <w:p>
            <w:r>
              <w:t>Rationale</w:t>
            </w:r>
          </w:p>
        </w:tc>
        <w:tc>
          <w:tcPr>
            <w:tcW w:type="dxa" w:w="3120"/>
          </w:tcPr>
          <w:p>
            <w:r>
              <w:t>Explains endpoint heterogeneity and risk of non-exchangeable pooling.</w:t>
            </w:r>
          </w:p>
        </w:tc>
        <w:tc>
          <w:tcPr>
            <w:tcW w:type="dxa" w:w="3120"/>
          </w:tcPr>
          <w:p>
            <w:r>
              <w:t>Introduction</w:t>
            </w:r>
          </w:p>
        </w:tc>
      </w:tr>
      <w:tr>
        <w:tc>
          <w:tcPr>
            <w:tcW w:type="dxa" w:w="3120"/>
          </w:tcPr>
          <w:p>
            <w:r>
              <w:t>Eligibility</w:t>
            </w:r>
          </w:p>
        </w:tc>
        <w:tc>
          <w:tcPr>
            <w:tcW w:type="dxa" w:w="3120"/>
          </w:tcPr>
          <w:p>
            <w:r>
              <w:t>Rows classified by endpoint taxonomy, source tier and primary-pooling eligibility.</w:t>
            </w:r>
          </w:p>
        </w:tc>
        <w:tc>
          <w:tcPr>
            <w:tcW w:type="dxa" w:w="3120"/>
          </w:tcPr>
          <w:p>
            <w:r>
              <w:t>Methods; Table S1</w:t>
            </w:r>
          </w:p>
        </w:tc>
      </w:tr>
      <w:tr>
        <w:tc>
          <w:tcPr>
            <w:tcW w:type="dxa" w:w="3120"/>
          </w:tcPr>
          <w:p>
            <w:r>
              <w:t>Information sources</w:t>
            </w:r>
          </w:p>
        </w:tc>
        <w:tc>
          <w:tcPr>
            <w:tcW w:type="dxa" w:w="3120"/>
          </w:tcPr>
          <w:p>
            <w:r>
              <w:t>Trial publications, appendices, regulatory labels, registries and public transcriptomic datasets indexed.</w:t>
            </w:r>
          </w:p>
        </w:tc>
        <w:tc>
          <w:tcPr>
            <w:tcW w:type="dxa" w:w="3120"/>
          </w:tcPr>
          <w:p>
            <w:r>
              <w:t>Table S2</w:t>
            </w:r>
          </w:p>
        </w:tc>
      </w:tr>
      <w:tr>
        <w:tc>
          <w:tcPr>
            <w:tcW w:type="dxa" w:w="3120"/>
          </w:tcPr>
          <w:p>
            <w:r>
              <w:t>Data items</w:t>
            </w:r>
          </w:p>
        </w:tc>
        <w:tc>
          <w:tcPr>
            <w:tcW w:type="dxa" w:w="3120"/>
          </w:tcPr>
          <w:p>
            <w:r>
              <w:t>Endpoint label, denominator, grade, source tier, lineage, regimen architecture and exclusion reason.</w:t>
            </w:r>
          </w:p>
        </w:tc>
        <w:tc>
          <w:tcPr>
            <w:tcW w:type="dxa" w:w="3120"/>
          </w:tcPr>
          <w:p>
            <w:r>
              <w:t>Table S1</w:t>
            </w:r>
          </w:p>
        </w:tc>
      </w:tr>
      <w:tr>
        <w:tc>
          <w:tcPr>
            <w:tcW w:type="dxa" w:w="3120"/>
          </w:tcPr>
          <w:p>
            <w:r>
              <w:t>Risk of bias/source tier</w:t>
            </w:r>
          </w:p>
        </w:tc>
        <w:tc>
          <w:tcPr>
            <w:tcW w:type="dxa" w:w="3120"/>
          </w:tcPr>
          <w:p>
            <w:r>
              <w:t>Operationalized as source-tier and comparability components, not as causal risk-of-bias scoring.</w:t>
            </w:r>
          </w:p>
        </w:tc>
        <w:tc>
          <w:tcPr>
            <w:tcW w:type="dxa" w:w="3120"/>
          </w:tcPr>
          <w:p>
            <w:r>
              <w:t>Methods; Table S1</w:t>
            </w:r>
          </w:p>
        </w:tc>
      </w:tr>
      <w:tr>
        <w:tc>
          <w:tcPr>
            <w:tcW w:type="dxa" w:w="3120"/>
          </w:tcPr>
          <w:p>
            <w:r>
              <w:t>Synthesis methods</w:t>
            </w:r>
          </w:p>
        </w:tc>
        <w:tc>
          <w:tcPr>
            <w:tcW w:type="dxa" w:w="3120"/>
          </w:tcPr>
          <w:p>
            <w:r>
              <w:t>Pooling restricted to endpoint-compatible strata; incompatible rows retained as sensitivity/audit/context.</w:t>
            </w:r>
          </w:p>
        </w:tc>
        <w:tc>
          <w:tcPr>
            <w:tcW w:type="dxa" w:w="3120"/>
          </w:tcPr>
          <w:p>
            <w:r>
              <w:t>Methods; Table 2</w:t>
            </w:r>
          </w:p>
        </w:tc>
      </w:tr>
      <w:tr>
        <w:tc>
          <w:tcPr>
            <w:tcW w:type="dxa" w:w="3120"/>
          </w:tcPr>
          <w:p>
            <w:r>
              <w:t>Heterogeneity</w:t>
            </w:r>
          </w:p>
        </w:tc>
        <w:tc>
          <w:tcPr>
            <w:tcW w:type="dxa" w:w="3120"/>
          </w:tcPr>
          <w:p>
            <w:r>
              <w:t>I2 and prediction intervals reported where estimable.</w:t>
            </w:r>
          </w:p>
        </w:tc>
        <w:tc>
          <w:tcPr>
            <w:tcW w:type="dxa" w:w="3120"/>
          </w:tcPr>
          <w:p>
            <w:r>
              <w:t>Table 2; clinical model report</w:t>
            </w:r>
          </w:p>
        </w:tc>
      </w:tr>
      <w:tr>
        <w:tc>
          <w:tcPr>
            <w:tcW w:type="dxa" w:w="3120"/>
          </w:tcPr>
          <w:p>
            <w:r>
              <w:t>Sensitivity analyses</w:t>
            </w:r>
          </w:p>
        </w:tc>
        <w:tc>
          <w:tcPr>
            <w:tcW w:type="dxa" w:w="3120"/>
          </w:tcPr>
          <w:p>
            <w:r>
              <w:t>Strict-primary, regulatory/registry exclusions, source-tier and architecture sensitivity retained from v1.3.</w:t>
            </w:r>
          </w:p>
        </w:tc>
        <w:tc>
          <w:tcPr>
            <w:tcW w:type="dxa" w:w="3120"/>
          </w:tcPr>
          <w:p>
            <w:r>
              <w:t>Supplementary tables</w:t>
            </w:r>
          </w:p>
        </w:tc>
      </w:tr>
      <w:tr>
        <w:tc>
          <w:tcPr>
            <w:tcW w:type="dxa" w:w="3120"/>
          </w:tcPr>
          <w:p>
            <w:r>
              <w:t>Limitations</w:t>
            </w:r>
          </w:p>
        </w:tc>
        <w:tc>
          <w:tcPr>
            <w:tcW w:type="dxa" w:w="3120"/>
          </w:tcPr>
          <w:p>
            <w:r>
              <w:t>Patient-level steroid mediation, strict organ-specific lineage-wide pooling and causal timing effects labelled non-estimable.</w:t>
            </w:r>
          </w:p>
        </w:tc>
        <w:tc>
          <w:tcPr>
            <w:tcW w:type="dxa" w:w="3120"/>
          </w:tcPr>
          <w:p>
            <w:r>
              <w:t>Discussion; claim gate</w:t>
            </w:r>
          </w:p>
        </w:tc>
      </w:tr>
    </w:tbl>
    <w:p>
      <w:r>
        <w:rPr>
          <w:b w:val="0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