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JITC Required Statements v1.5</w:t>
      </w:r>
    </w:p>
    <w:p>
      <w:pPr>
        <w:pStyle w:val="Heading2"/>
      </w:pPr>
      <w:r>
        <w:t>Contributors</w:t>
      </w:r>
    </w:p>
    <w:p>
      <w:r>
        <w:t>AUTHOR TO COMPLETE: list each author's contribution using CRediT-style roles or the JITC/BMJ portal categories. The corresponding author or designated guarantor should confirm that all authors meet authorship criteria.</w:t>
      </w:r>
    </w:p>
    <w:p>
      <w:pPr>
        <w:pStyle w:val="Heading2"/>
      </w:pPr>
      <w:r>
        <w:t>Funding</w:t>
      </w:r>
    </w:p>
    <w:p>
      <w:r>
        <w:t>AUTHOR TO COMPLETE: state all funding sources and grant numbers, or state that this work received no specific grant from any funding agency in the public, commercial or not-for-profit sectors.</w:t>
      </w:r>
    </w:p>
    <w:p>
      <w:pPr>
        <w:pStyle w:val="Heading2"/>
      </w:pPr>
      <w:r>
        <w:t>Competing interests</w:t>
      </w:r>
    </w:p>
    <w:p>
      <w:r>
        <w:t>AUTHOR TO COMPLETE: disclose all financial and non-financial competing interests for each author, or state that the authors declare no competing interests.</w:t>
      </w:r>
    </w:p>
    <w:p>
      <w:pPr>
        <w:pStyle w:val="Heading2"/>
      </w:pPr>
      <w:r>
        <w:t>Patient consent for publication</w:t>
      </w:r>
    </w:p>
    <w:p>
      <w:r>
        <w:t>Not applicable, pending author confirmation. This study uses published aggregate clinical trial data and public/de-identified transcriptomic resources and does not report individual identifiable patient information.</w:t>
      </w:r>
    </w:p>
    <w:p>
      <w:pPr>
        <w:pStyle w:val="Heading2"/>
      </w:pPr>
      <w:r>
        <w:t>Ethics approval</w:t>
      </w:r>
    </w:p>
    <w:p>
      <w:r>
        <w:t>AUTHOR/INSTITUTION TO CONFIRM. The current analysis uses published aggregate trial reports, regulatory/source documents and public/de-identified transcriptomic datasets, with no new patient recruitment or intervention. If institutional policy requires review or exemption documentation, add the approval/exemption identifier before submission.</w:t>
      </w:r>
    </w:p>
    <w:p>
      <w:pPr>
        <w:pStyle w:val="Heading2"/>
      </w:pPr>
      <w:r>
        <w:t>Data availability statement</w:t>
      </w:r>
    </w:p>
    <w:p>
      <w:r>
        <w:t>All extracted data tables, audit outputs and scripts used for the manuscript are included in the local reproducibility package. Before journal submission, AUTHOR TO COMPLETE should provide a public repository URL/DOI or state the access conditions if a repository release is pending.</w:t>
      </w:r>
    </w:p>
    <w:p>
      <w:pPr>
        <w:pStyle w:val="Heading2"/>
      </w:pPr>
      <w:r>
        <w:t>Code availability</w:t>
      </w:r>
    </w:p>
    <w:p>
      <w:r>
        <w:t>The v1.3/v1.4/v1.5 reproducibility scripts are included in the project repository. The v1.5 portal package is generated without rerunning clinical or transcriptomic analyses.</w:t>
      </w:r>
    </w:p>
    <w:p>
      <w:pPr>
        <w:pStyle w:val="Heading2"/>
      </w:pPr>
      <w:r>
        <w:t>Acknowledgements</w:t>
      </w:r>
    </w:p>
    <w:p>
      <w:r>
        <w:t>AUTHOR TO COMPLETE.</w:t>
      </w:r>
    </w:p>
    <w:p>
      <w:pPr>
        <w:pStyle w:val="Heading2"/>
      </w:pPr>
      <w:r>
        <w:t>Provenance and peer review</w:t>
      </w:r>
    </w:p>
    <w:p>
      <w:r>
        <w:t>Not commissioned; externally peer reviewed if accepted by the journal. AUTHOR TO COMPLETE if the journal requires a different wording.</w:t>
      </w:r>
    </w:p>
    <w:p>
      <w:pPr>
        <w:pStyle w:val="Heading2"/>
      </w:pPr>
      <w:r>
        <w:t>Reporting guideline</w:t>
      </w:r>
    </w:p>
    <w:p>
      <w:r>
        <w:t>An adapted PRISMA/MOOSE-style checklist for endpoint-aware evidence synthesis is included as `JITC_REPORTING_CHECKLIST_V1_5.docx`.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