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Methods and Tables v1.5</w:t>
      </w:r>
    </w:p>
    <w:p>
      <w:r>
        <w:rPr>
          <w:b w:val="0"/>
        </w:rPr>
        <w:t>This supplement is split from existing v1.3/v1.4 outputs. It does not add new analyses.</w:t>
      </w:r>
    </w:p>
    <w:p>
      <w:pPr>
        <w:pStyle w:val="Heading2"/>
      </w:pPr>
      <w:r>
        <w:t>Supplementary Methods</w:t>
      </w:r>
    </w:p>
    <w:p>
      <w:r>
        <w:rPr>
          <w:b w:val="0"/>
        </w:rPr>
        <w:t>The clinical registry, endpoint taxonomy, endpoint comparability index, claim gate and transcriptomic plausibility layer are generated from locked v1.3/v1.4 data products. Endpoint-incompatible rows remain in sensitivity, audit or context layers and are not promoted into primary pooling.</w:t>
      </w:r>
    </w:p>
    <w:p>
      <w:r>
        <w:rPr>
          <w:b w:val="0"/>
        </w:rPr>
        <w:t>URL-only or identifier-only source rows are retained for source traceability and should not be treated as journal-formatted references unless independently verified and resolved.</w:t>
      </w:r>
    </w:p>
    <w:p>
      <w:pPr>
        <w:pStyle w:val="Heading2"/>
      </w:pPr>
      <w:r>
        <w:t>Supplementary Table Index</w:t>
      </w:r>
    </w:p>
    <w:p>
      <w:pPr>
        <w:pStyle w:val="ListBullet"/>
      </w:pPr>
      <w:r>
        <w:t>Table S1: endpoint comparability index, full row-level registry-derived table.</w:t>
      </w:r>
    </w:p>
    <w:p>
      <w:pPr>
        <w:pStyle w:val="ListBullet"/>
      </w:pPr>
      <w:r>
        <w:t>Table S2: source index by study/source block.</w:t>
      </w:r>
    </w:p>
    <w:p>
      <w:pPr>
        <w:pStyle w:val="ListBullet"/>
      </w:pPr>
      <w:r>
        <w:t>Table S3: claim evidence matrix.</w:t>
      </w:r>
    </w:p>
    <w:p>
      <w:pPr>
        <w:pStyle w:val="ListBullet"/>
      </w:pPr>
      <w:r>
        <w:t>Table S4: clinical pooled endpoint estimates.</w:t>
      </w:r>
    </w:p>
    <w:p>
      <w:pPr>
        <w:pStyle w:val="ListBullet"/>
      </w:pPr>
      <w:r>
        <w:t>Table S5: exploratory clinical model coefficients.</w:t>
      </w:r>
    </w:p>
    <w:p>
      <w:pPr>
        <w:pStyle w:val="ListBullet"/>
      </w:pPr>
      <w:r>
        <w:t>Table S6: steroid perturbation programs.</w:t>
      </w:r>
    </w:p>
    <w:p>
      <w:pPr>
        <w:pStyle w:val="ListBullet"/>
      </w:pPr>
      <w:r>
        <w:t>Table S7: transcriptomic signature summary.</w:t>
      </w:r>
    </w:p>
    <w:p>
      <w:pPr>
        <w:pStyle w:val="ListBullet"/>
      </w:pPr>
      <w:r>
        <w:t>Table S8: JITC portal file check.</w:t>
      </w:r>
    </w:p>
    <w:p>
      <w:r>
        <w:rPr>
          <w:b/>
        </w:rPr>
        <w:t>Supplementary Table S9. Prospective ICI safety reporting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reporting_domain</w:t>
            </w:r>
          </w:p>
        </w:tc>
        <w:tc>
          <w:tcPr>
            <w:tcW w:type="dxa" w:w="3120"/>
          </w:tcPr>
          <w:p>
            <w:r>
              <w:t>minimum_field</w:t>
            </w:r>
          </w:p>
        </w:tc>
        <w:tc>
          <w:tcPr>
            <w:tcW w:type="dxa" w:w="3120"/>
          </w:tcPr>
          <w:p>
            <w:r>
              <w:t>why_required</w:t>
            </w:r>
          </w:p>
        </w:tc>
      </w:tr>
      <w:tr>
        <w:tc>
          <w:tcPr>
            <w:tcW w:type="dxa" w:w="3120"/>
          </w:tcPr>
          <w:p>
            <w:r>
              <w:t>Endpoint label</w:t>
            </w:r>
          </w:p>
        </w:tc>
        <w:tc>
          <w:tcPr>
            <w:tcW w:type="dxa" w:w="3120"/>
          </w:tcPr>
          <w:p>
            <w:r>
              <w:t>Exact toxicity endpoint name used in source</w:t>
            </w:r>
          </w:p>
        </w:tc>
        <w:tc>
          <w:tcPr>
            <w:tcW w:type="dxa" w:w="3120"/>
          </w:tcPr>
          <w:p>
            <w:r>
              <w:t>Prevents treating irAE, imAE, AEOSI, TRAE and selected AE as exchangeable.</w:t>
            </w:r>
          </w:p>
        </w:tc>
      </w:tr>
      <w:tr>
        <w:tc>
          <w:tcPr>
            <w:tcW w:type="dxa" w:w="3120"/>
          </w:tcPr>
          <w:p>
            <w:r>
              <w:t>Attribution rule</w:t>
            </w:r>
          </w:p>
        </w:tc>
        <w:tc>
          <w:tcPr>
            <w:tcW w:type="dxa" w:w="3120"/>
          </w:tcPr>
          <w:p>
            <w:r>
              <w:t>Investigator-attributed, sponsor-defined, regulatory, or treatment-related definition</w:t>
            </w:r>
          </w:p>
        </w:tc>
        <w:tc>
          <w:tcPr>
            <w:tcW w:type="dxa" w:w="3120"/>
          </w:tcPr>
          <w:p>
            <w:r>
              <w:t>Determines whether immune causality is explicit, inferred, or absent.</w:t>
            </w:r>
          </w:p>
        </w:tc>
      </w:tr>
      <w:tr>
        <w:tc>
          <w:tcPr>
            <w:tcW w:type="dxa" w:w="3120"/>
          </w:tcPr>
          <w:p>
            <w:r>
              <w:t>Organ specificity</w:t>
            </w:r>
          </w:p>
        </w:tc>
        <w:tc>
          <w:tcPr>
            <w:tcW w:type="dxa" w:w="3120"/>
          </w:tcPr>
          <w:p>
            <w:r>
              <w:t>Global immune-mediated event versus organ-specific event</w:t>
            </w:r>
          </w:p>
        </w:tc>
        <w:tc>
          <w:tcPr>
            <w:tcW w:type="dxa" w:w="3120"/>
          </w:tcPr>
          <w:p>
            <w:r>
              <w:t>Determines whether organ-level pooling is possible.</w:t>
            </w:r>
          </w:p>
        </w:tc>
      </w:tr>
      <w:tr>
        <w:tc>
          <w:tcPr>
            <w:tcW w:type="dxa" w:w="3120"/>
          </w:tcPr>
          <w:p>
            <w:r>
              <w:t>Grade threshold</w:t>
            </w:r>
          </w:p>
        </w:tc>
        <w:tc>
          <w:tcPr>
            <w:tcW w:type="dxa" w:w="3120"/>
          </w:tcPr>
          <w:p>
            <w:r>
              <w:t>Any grade, grade &gt;=3, serious, fatal, or treatment-discontinuing</w:t>
            </w:r>
          </w:p>
        </w:tc>
        <w:tc>
          <w:tcPr>
            <w:tcW w:type="dxa" w:w="3120"/>
          </w:tcPr>
          <w:p>
            <w:r>
              <w:t>Prevents mixing inflammatory burden with broad high-grade toxicity.</w:t>
            </w:r>
          </w:p>
        </w:tc>
      </w:tr>
      <w:tr>
        <w:tc>
          <w:tcPr>
            <w:tcW w:type="dxa" w:w="3120"/>
          </w:tcPr>
          <w:p>
            <w:r>
              <w:t>Denominator</w:t>
            </w:r>
          </w:p>
        </w:tc>
        <w:tc>
          <w:tcPr>
            <w:tcW w:type="dxa" w:w="3120"/>
          </w:tcPr>
          <w:p>
            <w:r>
              <w:t>Safety population denominator for each endpoint and arm</w:t>
            </w:r>
          </w:p>
        </w:tc>
        <w:tc>
          <w:tcPr>
            <w:tcW w:type="dxa" w:w="3120"/>
          </w:tcPr>
          <w:p>
            <w:r>
              <w:t>Allows event-count validation and exact rate reconstruction.</w:t>
            </w:r>
          </w:p>
        </w:tc>
      </w:tr>
      <w:tr>
        <w:tc>
          <w:tcPr>
            <w:tcW w:type="dxa" w:w="3120"/>
          </w:tcPr>
          <w:p>
            <w:r>
              <w:t>Ascertainment window</w:t>
            </w:r>
          </w:p>
        </w:tc>
        <w:tc>
          <w:tcPr>
            <w:tcW w:type="dxa" w:w="3120"/>
          </w:tcPr>
          <w:p>
            <w:r>
              <w:t>Follow-up duration and safety collection window</w:t>
            </w:r>
          </w:p>
        </w:tc>
        <w:tc>
          <w:tcPr>
            <w:tcW w:type="dxa" w:w="3120"/>
          </w:tcPr>
          <w:p>
            <w:r>
              <w:t>Controls time-at-risk differences across tumor types and regimens.</w:t>
            </w:r>
          </w:p>
        </w:tc>
      </w:tr>
      <w:tr>
        <w:tc>
          <w:tcPr>
            <w:tcW w:type="dxa" w:w="3120"/>
          </w:tcPr>
          <w:p>
            <w:r>
              <w:t>Treatment architecture</w:t>
            </w:r>
          </w:p>
        </w:tc>
        <w:tc>
          <w:tcPr>
            <w:tcW w:type="dxa" w:w="3120"/>
          </w:tcPr>
          <w:p>
            <w:r>
              <w:t>ICI monotherapy, dual ICI, concurrent chemo-ICI, ICI lead-in, post-chemo/post-CRT</w:t>
            </w:r>
          </w:p>
        </w:tc>
        <w:tc>
          <w:tcPr>
            <w:tcW w:type="dxa" w:w="3120"/>
          </w:tcPr>
          <w:p>
            <w:r>
              <w:t>Separates regimen burden from ICI-specific inflammatory toxicity.</w:t>
            </w:r>
          </w:p>
        </w:tc>
      </w:tr>
      <w:tr>
        <w:tc>
          <w:tcPr>
            <w:tcW w:type="dxa" w:w="3120"/>
          </w:tcPr>
          <w:p>
            <w:r>
              <w:t>Steroid exposure</w:t>
            </w:r>
          </w:p>
        </w:tc>
        <w:tc>
          <w:tcPr>
            <w:tcW w:type="dxa" w:w="3120"/>
          </w:tcPr>
          <w:p>
            <w:r>
              <w:t>Premedication, antiemetic, antitumor backbone, irAE-treatment steroid timing/dose/duration</w:t>
            </w:r>
          </w:p>
        </w:tc>
        <w:tc>
          <w:tcPr>
            <w:tcW w:type="dxa" w:w="3120"/>
          </w:tcPr>
          <w:p>
            <w:r>
              <w:t>Required before any clinical steroid-mediation analysis is estimable.</w:t>
            </w:r>
          </w:p>
        </w:tc>
      </w:tr>
      <w:tr>
        <w:tc>
          <w:tcPr>
            <w:tcW w:type="dxa" w:w="3120"/>
          </w:tcPr>
          <w:p>
            <w:r>
              <w:t>Patient-level linkage</w:t>
            </w:r>
          </w:p>
        </w:tc>
        <w:tc>
          <w:tcPr>
            <w:tcW w:type="dxa" w:w="3120"/>
          </w:tcPr>
          <w:p>
            <w:r>
              <w:t>Link endpoint, timing, steroid exposure, tumor type, and molecular/immune data per patient</w:t>
            </w:r>
          </w:p>
        </w:tc>
        <w:tc>
          <w:tcPr>
            <w:tcW w:type="dxa" w:w="3120"/>
          </w:tcPr>
          <w:p>
            <w:r>
              <w:t>Required for causal or mediation inference beyond aggregate arm-level evidence.</w:t>
            </w:r>
          </w:p>
        </w:tc>
      </w:tr>
      <w:tr>
        <w:tc>
          <w:tcPr>
            <w:tcW w:type="dxa" w:w="3120"/>
          </w:tcPr>
          <w:p>
            <w:r>
              <w:t>Source tier</w:t>
            </w:r>
          </w:p>
        </w:tc>
        <w:tc>
          <w:tcPr>
            <w:tcW w:type="dxa" w:w="3120"/>
          </w:tcPr>
          <w:p>
            <w:r>
              <w:t>Main manuscript, appendix, regulatory label, registry, subgroup, or post-hoc report</w:t>
            </w:r>
          </w:p>
        </w:tc>
        <w:tc>
          <w:tcPr>
            <w:tcW w:type="dxa" w:w="3120"/>
          </w:tcPr>
          <w:p>
            <w:r>
              <w:t>Prevents primary inference from being driven by lower-tier source layers.</w:t>
            </w:r>
          </w:p>
        </w:tc>
      </w:tr>
    </w:tbl>
    <w:p>
      <w:r>
        <w:rPr>
          <w:b w:val="0"/>
        </w:rPr>
      </w:r>
    </w:p>
    <w:p>
      <w:r>
        <w:rPr>
          <w:b/>
        </w:rPr>
        <w:t>Supplementary Table S2 preview. Source index by study/source block (first 12 rows; full table in XLSX)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585"/>
          </w:tcPr>
          <w:p>
            <w:r>
              <w:t>study_name</w:t>
            </w:r>
          </w:p>
        </w:tc>
        <w:tc>
          <w:tcPr>
            <w:tcW w:type="dxa" w:w="585"/>
          </w:tcPr>
          <w:p>
            <w:r>
              <w:t>trial_id</w:t>
            </w:r>
          </w:p>
        </w:tc>
        <w:tc>
          <w:tcPr>
            <w:tcW w:type="dxa" w:w="585"/>
          </w:tcPr>
          <w:p>
            <w:r>
              <w:t>tumor_lineage</w:t>
            </w:r>
          </w:p>
        </w:tc>
        <w:tc>
          <w:tcPr>
            <w:tcW w:type="dxa" w:w="585"/>
          </w:tcPr>
          <w:p>
            <w:r>
              <w:t>tumor_type</w:t>
            </w:r>
          </w:p>
        </w:tc>
        <w:tc>
          <w:tcPr>
            <w:tcW w:type="dxa" w:w="585"/>
          </w:tcPr>
          <w:p>
            <w:r>
              <w:t>lymphoma_subtype</w:t>
            </w:r>
          </w:p>
        </w:tc>
        <w:tc>
          <w:tcPr>
            <w:tcW w:type="dxa" w:w="585"/>
          </w:tcPr>
          <w:p>
            <w:r>
              <w:t>endpoint_taxonomy</w:t>
            </w:r>
          </w:p>
        </w:tc>
        <w:tc>
          <w:tcPr>
            <w:tcW w:type="dxa" w:w="585"/>
          </w:tcPr>
          <w:p>
            <w:r>
              <w:t>source_tier</w:t>
            </w:r>
          </w:p>
        </w:tc>
        <w:tc>
          <w:tcPr>
            <w:tcW w:type="dxa" w:w="585"/>
          </w:tcPr>
          <w:p>
            <w:r>
              <w:t>source_audit_role</w:t>
            </w:r>
          </w:p>
        </w:tc>
        <w:tc>
          <w:tcPr>
            <w:tcW w:type="dxa" w:w="585"/>
          </w:tcPr>
          <w:p>
            <w:r>
              <w:t>primary_pooling_eligibility</w:t>
            </w:r>
          </w:p>
        </w:tc>
        <w:tc>
          <w:tcPr>
            <w:tcW w:type="dxa" w:w="585"/>
          </w:tcPr>
          <w:p>
            <w:r>
              <w:t>local_source_status</w:t>
            </w:r>
          </w:p>
        </w:tc>
        <w:tc>
          <w:tcPr>
            <w:tcW w:type="dxa" w:w="585"/>
          </w:tcPr>
          <w:p>
            <w:r>
              <w:t>citation_identifier</w:t>
            </w:r>
          </w:p>
        </w:tc>
        <w:tc>
          <w:tcPr>
            <w:tcW w:type="dxa" w:w="585"/>
          </w:tcPr>
          <w:p>
            <w:r>
              <w:t>rows</w:t>
            </w:r>
          </w:p>
        </w:tc>
        <w:tc>
          <w:tcPr>
            <w:tcW w:type="dxa" w:w="585"/>
          </w:tcPr>
          <w:p>
            <w:r>
              <w:t>quantitative_roles</w:t>
            </w:r>
          </w:p>
        </w:tc>
        <w:tc>
          <w:tcPr>
            <w:tcW w:type="dxa" w:w="585"/>
          </w:tcPr>
          <w:p>
            <w:r>
              <w:t>exclusion_reasons</w:t>
            </w:r>
          </w:p>
        </w:tc>
        <w:tc>
          <w:tcPr>
            <w:tcW w:type="dxa" w:w="585"/>
          </w:tcPr>
          <w:p>
            <w:r>
              <w:t>median_endpoint_comparability_score</w:t>
            </w:r>
          </w:p>
        </w:tc>
        <w:tc>
          <w:tcPr>
            <w:tcW w:type="dxa" w:w="585"/>
          </w:tcPr>
          <w:p>
            <w:r>
              <w:t>comparability_classes</w:t>
            </w:r>
          </w:p>
        </w:tc>
      </w:tr>
      <w:tr>
        <w:tc>
          <w:tcPr>
            <w:tcW w:type="dxa" w:w="585"/>
          </w:tcPr>
          <w:p>
            <w:r>
              <w:t>CheckMate 017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NSCLC squamous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treatment-related AE</w:t>
            </w:r>
          </w:p>
        </w:tc>
        <w:tc>
          <w:tcPr>
            <w:tcW w:type="dxa" w:w="585"/>
          </w:tcPr>
          <w:p>
            <w:r>
              <w:t>trial_arm_summary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10.1056/NEJMoa1504627</w:t>
            </w:r>
          </w:p>
        </w:tc>
        <w:tc>
          <w:tcPr>
            <w:tcW w:type="dxa" w:w="585"/>
          </w:tcPr>
          <w:p>
            <w:r>
              <w:t>1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8.0</w:t>
            </w:r>
          </w:p>
        </w:tc>
        <w:tc>
          <w:tcPr>
            <w:tcW w:type="dxa" w:w="585"/>
          </w:tcPr>
          <w:p>
            <w:r>
              <w:t>high comparability for endpoint-specific analysis</w:t>
            </w:r>
          </w:p>
        </w:tc>
      </w:tr>
      <w:tr>
        <w:tc>
          <w:tcPr>
            <w:tcW w:type="dxa" w:w="585"/>
          </w:tcPr>
          <w:p>
            <w:r>
              <w:t>CheckMate 017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squamous NSCLC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selected AE sensitivity</w:t>
            </w:r>
          </w:p>
        </w:tc>
        <w:tc>
          <w:tcPr>
            <w:tcW w:type="dxa" w:w="585"/>
          </w:tcPr>
          <w:p>
            <w:r>
              <w:t>primary_manuscript_or_appendix</w:t>
            </w:r>
          </w:p>
        </w:tc>
        <w:tc>
          <w:tcPr>
            <w:tcW w:type="dxa" w:w="585"/>
          </w:tcPr>
          <w:p>
            <w:r>
              <w:t>sensitivity-only quantitative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https://pmc.ncbi.nlm.nih.gov/articles/PMC4681400/</w:t>
            </w:r>
          </w:p>
        </w:tc>
        <w:tc>
          <w:tcPr>
            <w:tcW w:type="dxa" w:w="585"/>
          </w:tcPr>
          <w:p>
            <w:r>
              <w:t>8</w:t>
            </w:r>
          </w:p>
        </w:tc>
        <w:tc>
          <w:tcPr>
            <w:tcW w:type="dxa" w:w="585"/>
          </w:tcPr>
          <w:p>
            <w:r>
              <w:t>sensitivity_or_audit</w:t>
            </w:r>
          </w:p>
        </w:tc>
        <w:tc>
          <w:tcPr>
            <w:tcW w:type="dxa" w:w="585"/>
          </w:tcPr>
          <w:p>
            <w:r>
              <w:t>selected AE or unspecified immunologic attribution</w:t>
            </w:r>
          </w:p>
        </w:tc>
        <w:tc>
          <w:tcPr>
            <w:tcW w:type="dxa" w:w="585"/>
          </w:tcPr>
          <w:p>
            <w:r>
              <w:t>5.0</w:t>
            </w:r>
          </w:p>
        </w:tc>
        <w:tc>
          <w:tcPr>
            <w:tcW w:type="dxa" w:w="585"/>
          </w:tcPr>
          <w:p>
            <w:r>
              <w:t>moderate comparability; sensitivity or stratified use</w:t>
            </w:r>
          </w:p>
        </w:tc>
      </w:tr>
      <w:tr>
        <w:tc>
          <w:tcPr>
            <w:tcW w:type="dxa" w:w="585"/>
          </w:tcPr>
          <w:p>
            <w:r>
              <w:t>CheckMate 057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NSCLC nonsquamous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treatment-related AE</w:t>
            </w:r>
          </w:p>
        </w:tc>
        <w:tc>
          <w:tcPr>
            <w:tcW w:type="dxa" w:w="585"/>
          </w:tcPr>
          <w:p>
            <w:r>
              <w:t>trial_arm_summary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10.1056/NEJMoa1507643</w:t>
            </w:r>
          </w:p>
        </w:tc>
        <w:tc>
          <w:tcPr>
            <w:tcW w:type="dxa" w:w="585"/>
          </w:tcPr>
          <w:p>
            <w:r>
              <w:t>1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8.0</w:t>
            </w:r>
          </w:p>
        </w:tc>
        <w:tc>
          <w:tcPr>
            <w:tcW w:type="dxa" w:w="585"/>
          </w:tcPr>
          <w:p>
            <w:r>
              <w:t>high comparability for endpoint-specific analysis</w:t>
            </w:r>
          </w:p>
        </w:tc>
      </w:tr>
      <w:tr>
        <w:tc>
          <w:tcPr>
            <w:tcW w:type="dxa" w:w="585"/>
          </w:tcPr>
          <w:p>
            <w:r>
              <w:t>CheckMate 057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nonsquamous NSCLC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selected AE sensitivity</w:t>
            </w:r>
          </w:p>
        </w:tc>
        <w:tc>
          <w:tcPr>
            <w:tcW w:type="dxa" w:w="585"/>
          </w:tcPr>
          <w:p>
            <w:r>
              <w:t>primary_manuscript_or_appendix</w:t>
            </w:r>
          </w:p>
        </w:tc>
        <w:tc>
          <w:tcPr>
            <w:tcW w:type="dxa" w:w="585"/>
          </w:tcPr>
          <w:p>
            <w:r>
              <w:t>sensitivity-only quantitative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https://pmc.ncbi.nlm.nih.gov/articles/PMC5705936/</w:t>
            </w:r>
          </w:p>
        </w:tc>
        <w:tc>
          <w:tcPr>
            <w:tcW w:type="dxa" w:w="585"/>
          </w:tcPr>
          <w:p>
            <w:r>
              <w:t>7</w:t>
            </w:r>
          </w:p>
        </w:tc>
        <w:tc>
          <w:tcPr>
            <w:tcW w:type="dxa" w:w="585"/>
          </w:tcPr>
          <w:p>
            <w:r>
              <w:t>sensitivity_or_audit</w:t>
            </w:r>
          </w:p>
        </w:tc>
        <w:tc>
          <w:tcPr>
            <w:tcW w:type="dxa" w:w="585"/>
          </w:tcPr>
          <w:p>
            <w:r>
              <w:t>selected AE or unspecified immunologic attribution</w:t>
            </w:r>
          </w:p>
        </w:tc>
        <w:tc>
          <w:tcPr>
            <w:tcW w:type="dxa" w:w="585"/>
          </w:tcPr>
          <w:p>
            <w:r>
              <w:t>5.0</w:t>
            </w:r>
          </w:p>
        </w:tc>
        <w:tc>
          <w:tcPr>
            <w:tcW w:type="dxa" w:w="585"/>
          </w:tcPr>
          <w:p>
            <w:r>
              <w:t>moderate comparability; sensitivity or stratified use</w:t>
            </w:r>
          </w:p>
        </w:tc>
      </w:tr>
      <w:tr>
        <w:tc>
          <w:tcPr>
            <w:tcW w:type="dxa" w:w="585"/>
          </w:tcPr>
          <w:p>
            <w:r>
              <w:t>CheckMate 067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advanced melanoma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registry audit only</w:t>
            </w:r>
          </w:p>
        </w:tc>
        <w:tc>
          <w:tcPr>
            <w:tcW w:type="dxa" w:w="585"/>
          </w:tcPr>
          <w:p>
            <w:r>
              <w:t>registry_audit</w:t>
            </w:r>
          </w:p>
        </w:tc>
        <w:tc>
          <w:tcPr>
            <w:tcW w:type="dxa" w:w="585"/>
          </w:tcPr>
          <w:p>
            <w:r>
              <w:t>source-coverage audit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https://clinicaltrials.gov/study/NCT01844505</w:t>
            </w:r>
          </w:p>
        </w:tc>
        <w:tc>
          <w:tcPr>
            <w:tcW w:type="dxa" w:w="585"/>
          </w:tcPr>
          <w:p>
            <w:r>
              <w:t>36</w:t>
            </w:r>
          </w:p>
        </w:tc>
        <w:tc>
          <w:tcPr>
            <w:tcW w:type="dxa" w:w="585"/>
          </w:tcPr>
          <w:p>
            <w:r>
              <w:t>context_or_audit_only</w:t>
            </w:r>
          </w:p>
        </w:tc>
        <w:tc>
          <w:tcPr>
            <w:tcW w:type="dxa" w:w="585"/>
          </w:tcPr>
          <w:p>
            <w:r>
              <w:t>registry AE table is source-audit evidence only</w:t>
            </w:r>
          </w:p>
        </w:tc>
        <w:tc>
          <w:tcPr>
            <w:tcW w:type="dxa" w:w="585"/>
          </w:tcPr>
          <w:p>
            <w:r>
              <w:t>2.0</w:t>
            </w:r>
          </w:p>
        </w:tc>
        <w:tc>
          <w:tcPr>
            <w:tcW w:type="dxa" w:w="585"/>
          </w:tcPr>
          <w:p>
            <w:r>
              <w:t>low comparability; audit/context only</w:t>
            </w:r>
          </w:p>
        </w:tc>
      </w:tr>
      <w:tr>
        <w:tc>
          <w:tcPr>
            <w:tcW w:type="dxa" w:w="585"/>
          </w:tcPr>
          <w:p>
            <w:r>
              <w:t>CheckMate 067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advanced melanoma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regulatory sensitivity</w:t>
            </w:r>
          </w:p>
        </w:tc>
        <w:tc>
          <w:tcPr>
            <w:tcW w:type="dxa" w:w="585"/>
          </w:tcPr>
          <w:p>
            <w:r>
              <w:t>regulatory_trial_table</w:t>
            </w:r>
          </w:p>
        </w:tc>
        <w:tc>
          <w:tcPr>
            <w:tcW w:type="dxa" w:w="585"/>
          </w:tcPr>
          <w:p>
            <w:r>
              <w:t>sensitivity-only quantitative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https://www.accessdata.fda.gov/drugsatfda_docs/label/2024/125554s128lbl.pdf</w:t>
            </w:r>
          </w:p>
        </w:tc>
        <w:tc>
          <w:tcPr>
            <w:tcW w:type="dxa" w:w="585"/>
          </w:tcPr>
          <w:p>
            <w:r>
              <w:t>20</w:t>
            </w:r>
          </w:p>
        </w:tc>
        <w:tc>
          <w:tcPr>
            <w:tcW w:type="dxa" w:w="585"/>
          </w:tcPr>
          <w:p>
            <w:r>
              <w:t>sensitivity_or_audit</w:t>
            </w:r>
          </w:p>
        </w:tc>
        <w:tc>
          <w:tcPr>
            <w:tcW w:type="dxa" w:w="585"/>
          </w:tcPr>
          <w:p>
            <w:r>
              <w:t>regulatory or label source is not an original endpoint-compatible trial appendix</w:t>
            </w:r>
          </w:p>
        </w:tc>
        <w:tc>
          <w:tcPr>
            <w:tcW w:type="dxa" w:w="585"/>
          </w:tcPr>
          <w:p>
            <w:r>
              <w:t>3.0</w:t>
            </w:r>
          </w:p>
        </w:tc>
        <w:tc>
          <w:tcPr>
            <w:tcW w:type="dxa" w:w="585"/>
          </w:tcPr>
          <w:p>
            <w:r>
              <w:t>low comparability; audit/context only</w:t>
            </w:r>
          </w:p>
        </w:tc>
      </w:tr>
      <w:tr>
        <w:tc>
          <w:tcPr>
            <w:tcW w:type="dxa" w:w="585"/>
          </w:tcPr>
          <w:p>
            <w:r>
              <w:t>CheckMate 067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melanoma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treatment-related AE</w:t>
            </w:r>
          </w:p>
        </w:tc>
        <w:tc>
          <w:tcPr>
            <w:tcW w:type="dxa" w:w="585"/>
          </w:tcPr>
          <w:p>
            <w:r>
              <w:t>trial_arm_summary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10.1056/NEJMoa1504030</w:t>
            </w:r>
          </w:p>
        </w:tc>
        <w:tc>
          <w:tcPr>
            <w:tcW w:type="dxa" w:w="585"/>
          </w:tcPr>
          <w:p>
            <w:r>
              <w:t>2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7.0</w:t>
            </w:r>
          </w:p>
        </w:tc>
        <w:tc>
          <w:tcPr>
            <w:tcW w:type="dxa" w:w="585"/>
          </w:tcPr>
          <w:p>
            <w:r>
              <w:t>moderate comparability; sensitivity or stratified use</w:t>
            </w:r>
          </w:p>
        </w:tc>
      </w:tr>
      <w:tr>
        <w:tc>
          <w:tcPr>
            <w:tcW w:type="dxa" w:w="585"/>
          </w:tcPr>
          <w:p>
            <w:r>
              <w:t>CheckMate 141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recurrent/metastatic head and neck squamous-cell carcinoma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selected AE sensitivity</w:t>
            </w:r>
          </w:p>
        </w:tc>
        <w:tc>
          <w:tcPr>
            <w:tcW w:type="dxa" w:w="585"/>
          </w:tcPr>
          <w:p>
            <w:r>
              <w:t>primary_manuscript_or_appendix</w:t>
            </w:r>
          </w:p>
        </w:tc>
        <w:tc>
          <w:tcPr>
            <w:tcW w:type="dxa" w:w="585"/>
          </w:tcPr>
          <w:p>
            <w:r>
              <w:t>sensitivity-only quantitative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https://pmc.ncbi.nlm.nih.gov/articles/PMC5564292/</w:t>
            </w:r>
          </w:p>
        </w:tc>
        <w:tc>
          <w:tcPr>
            <w:tcW w:type="dxa" w:w="585"/>
          </w:tcPr>
          <w:p>
            <w:r>
              <w:t>4</w:t>
            </w:r>
          </w:p>
        </w:tc>
        <w:tc>
          <w:tcPr>
            <w:tcW w:type="dxa" w:w="585"/>
          </w:tcPr>
          <w:p>
            <w:r>
              <w:t>sensitivity_or_audit</w:t>
            </w:r>
          </w:p>
        </w:tc>
        <w:tc>
          <w:tcPr>
            <w:tcW w:type="dxa" w:w="585"/>
          </w:tcPr>
          <w:p>
            <w:r>
              <w:t>selected AE or unspecified immunologic attribution</w:t>
            </w:r>
          </w:p>
        </w:tc>
        <w:tc>
          <w:tcPr>
            <w:tcW w:type="dxa" w:w="585"/>
          </w:tcPr>
          <w:p>
            <w:r>
              <w:t>5.0</w:t>
            </w:r>
          </w:p>
        </w:tc>
        <w:tc>
          <w:tcPr>
            <w:tcW w:type="dxa" w:w="585"/>
          </w:tcPr>
          <w:p>
            <w:r>
              <w:t>moderate comparability; sensitivity or stratified use</w:t>
            </w:r>
          </w:p>
        </w:tc>
      </w:tr>
      <w:tr>
        <w:tc>
          <w:tcPr>
            <w:tcW w:type="dxa" w:w="585"/>
          </w:tcPr>
          <w:p>
            <w:r>
              <w:t>CheckMate 205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lymphoma</w:t>
            </w:r>
          </w:p>
        </w:tc>
        <w:tc>
          <w:tcPr>
            <w:tcW w:type="dxa" w:w="585"/>
          </w:tcPr>
          <w:p>
            <w:r>
              <w:t>classical Hodgkin lymphoma</w:t>
            </w:r>
          </w:p>
        </w:tc>
        <w:tc>
          <w:tcPr>
            <w:tcW w:type="dxa" w:w="585"/>
          </w:tcPr>
          <w:p>
            <w:r>
              <w:t>cHL</w:t>
            </w:r>
          </w:p>
        </w:tc>
        <w:tc>
          <w:tcPr>
            <w:tcW w:type="dxa" w:w="585"/>
          </w:tcPr>
          <w:p>
            <w:r>
              <w:t>selected AE sensitivity</w:t>
            </w:r>
          </w:p>
        </w:tc>
        <w:tc>
          <w:tcPr>
            <w:tcW w:type="dxa" w:w="585"/>
          </w:tcPr>
          <w:p>
            <w:r>
              <w:t>primary_manuscript_or_appendix</w:t>
            </w:r>
          </w:p>
        </w:tc>
        <w:tc>
          <w:tcPr>
            <w:tcW w:type="dxa" w:w="585"/>
          </w:tcPr>
          <w:p>
            <w:r>
              <w:t>sensitivity-only quantitative row</w:t>
            </w:r>
          </w:p>
        </w:tc>
        <w:tc>
          <w:tcPr>
            <w:tcW w:type="dxa" w:w="585"/>
          </w:tcPr>
          <w:p>
            <w:r>
              <w:t>no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https://pmc.ncbi.nlm.nih.gov/articles/PMC6075887/</w:t>
            </w:r>
          </w:p>
        </w:tc>
        <w:tc>
          <w:tcPr>
            <w:tcW w:type="dxa" w:w="585"/>
          </w:tcPr>
          <w:p>
            <w:r>
              <w:t>2</w:t>
            </w:r>
          </w:p>
        </w:tc>
        <w:tc>
          <w:tcPr>
            <w:tcW w:type="dxa" w:w="585"/>
          </w:tcPr>
          <w:p>
            <w:r>
              <w:t>sensitivity_or_audit</w:t>
            </w:r>
          </w:p>
        </w:tc>
        <w:tc>
          <w:tcPr>
            <w:tcW w:type="dxa" w:w="585"/>
          </w:tcPr>
          <w:p>
            <w:r>
              <w:t>selected AE or unspecified immunologic attribution</w:t>
            </w:r>
          </w:p>
        </w:tc>
        <w:tc>
          <w:tcPr>
            <w:tcW w:type="dxa" w:w="585"/>
          </w:tcPr>
          <w:p>
            <w:r>
              <w:t>5.0</w:t>
            </w:r>
          </w:p>
        </w:tc>
        <w:tc>
          <w:tcPr>
            <w:tcW w:type="dxa" w:w="585"/>
          </w:tcPr>
          <w:p>
            <w:r>
              <w:t>moderate comparability; sensitivity or stratified use</w:t>
            </w:r>
          </w:p>
        </w:tc>
      </w:tr>
      <w:tr>
        <w:tc>
          <w:tcPr>
            <w:tcW w:type="dxa" w:w="585"/>
          </w:tcPr>
          <w:p>
            <w:r>
              <w:t>CheckMate 205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lymphoma</w:t>
            </w:r>
          </w:p>
        </w:tc>
        <w:tc>
          <w:tcPr>
            <w:tcW w:type="dxa" w:w="585"/>
          </w:tcPr>
          <w:p>
            <w:r>
              <w:t>classical Hodgkin lymphoma</w:t>
            </w:r>
          </w:p>
        </w:tc>
        <w:tc>
          <w:tcPr>
            <w:tcW w:type="dxa" w:w="585"/>
          </w:tcPr>
          <w:p>
            <w:r>
              <w:t>cHL</w:t>
            </w:r>
          </w:p>
        </w:tc>
        <w:tc>
          <w:tcPr>
            <w:tcW w:type="dxa" w:w="585"/>
          </w:tcPr>
          <w:p>
            <w:r>
              <w:t>strict irAE</w:t>
            </w:r>
          </w:p>
        </w:tc>
        <w:tc>
          <w:tcPr>
            <w:tcW w:type="dxa" w:w="585"/>
          </w:tcPr>
          <w:p>
            <w:r>
              <w:t>primary_manuscript_or_appendix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https://pmc.ncbi.nlm.nih.gov/articles/PMC6075887/</w:t>
            </w:r>
          </w:p>
        </w:tc>
        <w:tc>
          <w:tcPr>
            <w:tcW w:type="dxa" w:w="585"/>
          </w:tcPr>
          <w:p>
            <w:r>
              <w:t>2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9.0</w:t>
            </w:r>
          </w:p>
        </w:tc>
        <w:tc>
          <w:tcPr>
            <w:tcW w:type="dxa" w:w="585"/>
          </w:tcPr>
          <w:p>
            <w:r>
              <w:t>high comparability for endpoint-specific analysis</w:t>
            </w:r>
          </w:p>
        </w:tc>
      </w:tr>
      <w:tr>
        <w:tc>
          <w:tcPr>
            <w:tcW w:type="dxa" w:w="585"/>
          </w:tcPr>
          <w:p>
            <w:r>
              <w:t>CheckMate 214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renal cell carcinoma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treatment-related AE</w:t>
            </w:r>
          </w:p>
        </w:tc>
        <w:tc>
          <w:tcPr>
            <w:tcW w:type="dxa" w:w="585"/>
          </w:tcPr>
          <w:p>
            <w:r>
              <w:t>trial_arm_summary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10.1056/NEJMoa1712126</w:t>
            </w:r>
          </w:p>
        </w:tc>
        <w:tc>
          <w:tcPr>
            <w:tcW w:type="dxa" w:w="585"/>
          </w:tcPr>
          <w:p>
            <w:r>
              <w:t>1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8.0</w:t>
            </w:r>
          </w:p>
        </w:tc>
        <w:tc>
          <w:tcPr>
            <w:tcW w:type="dxa" w:w="585"/>
          </w:tcPr>
          <w:p>
            <w:r>
              <w:t>high comparability for endpoint-specific analysis</w:t>
            </w:r>
          </w:p>
        </w:tc>
      </w:tr>
      <w:tr>
        <w:tc>
          <w:tcPr>
            <w:tcW w:type="dxa" w:w="585"/>
          </w:tcPr>
          <w:p>
            <w:r>
              <w:t>CheckMate 649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solid</w:t>
            </w:r>
          </w:p>
        </w:tc>
        <w:tc>
          <w:tcPr>
            <w:tcW w:type="dxa" w:w="585"/>
          </w:tcPr>
          <w:p>
            <w:r>
              <w:t>gastric/GEJ/esophageal adenocarcinoma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treatment-related AE</w:t>
            </w:r>
          </w:p>
        </w:tc>
        <w:tc>
          <w:tcPr>
            <w:tcW w:type="dxa" w:w="585"/>
          </w:tcPr>
          <w:p>
            <w:r>
              <w:t>trial_arm_summary</w:t>
            </w:r>
          </w:p>
        </w:tc>
        <w:tc>
          <w:tcPr>
            <w:tcW w:type="dxa" w:w="585"/>
          </w:tcPr>
          <w:p>
            <w:r>
              <w:t>primary endpoint-compatible quantitative row</w:t>
            </w:r>
          </w:p>
        </w:tc>
        <w:tc>
          <w:tcPr>
            <w:tcW w:type="dxa" w:w="585"/>
          </w:tcPr>
          <w:p>
            <w:r>
              <w:t>yes</w:t>
            </w:r>
          </w:p>
        </w:tc>
        <w:tc>
          <w:tcPr>
            <w:tcW w:type="dxa" w:w="585"/>
          </w:tcPr>
          <w:p>
            <w:r>
              <w:t>local_candidate_present</w:t>
            </w:r>
          </w:p>
        </w:tc>
        <w:tc>
          <w:tcPr>
            <w:tcW w:type="dxa" w:w="585"/>
          </w:tcPr>
          <w:p>
            <w:r>
              <w:t>10.1016/S0140-6736(21)00797-2</w:t>
            </w:r>
          </w:p>
        </w:tc>
        <w:tc>
          <w:tcPr>
            <w:tcW w:type="dxa" w:w="585"/>
          </w:tcPr>
          <w:p>
            <w:r>
              <w:t>1</w:t>
            </w:r>
          </w:p>
        </w:tc>
        <w:tc>
          <w:tcPr>
            <w:tcW w:type="dxa" w:w="585"/>
          </w:tcPr>
          <w:p>
            <w:r>
              <w:t>primary_endpoint_stratum</w:t>
            </w:r>
          </w:p>
        </w:tc>
        <w:tc>
          <w:tcPr>
            <w:tcW w:type="dxa" w:w="585"/>
          </w:tcPr>
          <w:p>
            <w:r/>
          </w:p>
        </w:tc>
        <w:tc>
          <w:tcPr>
            <w:tcW w:type="dxa" w:w="585"/>
          </w:tcPr>
          <w:p>
            <w:r>
              <w:t>8.0</w:t>
            </w:r>
          </w:p>
        </w:tc>
        <w:tc>
          <w:tcPr>
            <w:tcW w:type="dxa" w:w="585"/>
          </w:tcPr>
          <w:p>
            <w:r>
              <w:t>high comparability for endpoint-specific analysis</w:t>
            </w:r>
          </w:p>
        </w:tc>
      </w:tr>
    </w:tbl>
    <w:p>
      <w:r>
        <w:rPr>
          <w:b w:val="0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