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Endpoint-Defined Immune Checkpoint Inhibitor Toxicity Phenotype Decomposition Across Evidence Systemss</w:t>
      </w:r>
    </w:p>
    <w:p>
      <w:pPr>
        <w:pStyle w:val="FirstParagraph"/>
      </w:pPr>
      <w:r>
        <w:t xml:space="preserve">Short title: ICI toxicity phenotype decomposition across evidence systems</w:t>
      </w:r>
    </w:p>
    <w:p>
      <w:pPr/>
      <w:r>
        <w:rPr>
          <w:rFonts w:ascii="Times New Roman" w:hAnsi="Times New Roman"/>
          <w:sz w:val="22"/>
        </w:rPr>
        <w:t xml:space="preserve"/>
      </w:r>
    </w:p>
    <w:p>
      <w:pPr>
        <w:jc w:val="center"/>
      </w:pPr>
      <w:r>
        <w:rPr>
          <w:rFonts w:ascii="Times New Roman" w:hAnsi="Times New Roman"/>
          <w:sz w:val="24"/>
          <w:b/>
        </w:rPr>
        <w:t xml:space="preserve">Junwei Huang†, Xiaolei Wei†, Haiqing Zheng†, Qi Wei, Yongqiang Wei, Ru Feng, Xutao Guo*</w:t>
      </w:r>
    </w:p>
    <w:p>
      <w:pPr/>
      <w:r>
        <w:rPr>
          <w:rFonts w:ascii="Times New Roman" w:hAnsi="Times New Roman"/>
          <w:sz w:val="12"/>
        </w:rPr>
        <w:t xml:space="preserve"/>
      </w:r>
    </w:p>
    <w:p>
      <w:pPr/>
      <w:r>
        <w:rPr>
          <w:rFonts w:ascii="Times New Roman" w:hAnsi="Times New Roman"/>
          <w:sz w:val="20"/>
        </w:rPr>
        <w:t xml:space="preserve">1 Department of Hematology, Nanfang Hospital, Southern Medical University, Guangzhou, China</w:t>
      </w:r>
    </w:p>
    <w:p>
      <w:pPr/>
      <w:r>
        <w:rPr>
          <w:rFonts w:ascii="Times New Roman" w:hAnsi="Times New Roman"/>
          <w:sz w:val="20"/>
        </w:rPr>
        <w:t xml:space="preserve">2 Department of Nosocomial Infection Management, Nanfang Hospital, Southern Medical University, Guangzhou, China</w:t>
      </w:r>
    </w:p>
    <w:p>
      <w:pPr/>
      <w:r>
        <w:rPr>
          <w:rFonts w:ascii="Times New Roman" w:hAnsi="Times New Roman"/>
          <w:sz w:val="20"/>
        </w:rPr>
        <w:t xml:space="preserve">3 Clinical Medical Research Center of Hematological Diseases of Guangdong Province, Guangzhou, China</w:t>
      </w:r>
    </w:p>
    <w:p>
      <w:pPr/>
      <w:r>
        <w:rPr>
          <w:rFonts w:ascii="Times New Roman" w:hAnsi="Times New Roman"/>
          <w:sz w:val="8"/>
        </w:rPr>
        <w:t xml:space="preserve"/>
      </w:r>
    </w:p>
    <w:p>
      <w:pPr/>
      <w:r>
        <w:rPr>
          <w:rFonts w:ascii="Times New Roman" w:hAnsi="Times New Roman"/>
          <w:sz w:val="20"/>
        </w:rPr>
        <w:t xml:space="preserve">† These authors contributed equally to this work.</w:t>
      </w:r>
    </w:p>
    <w:p>
      <w:pPr/>
      <w:r>
        <w:rPr>
          <w:rFonts w:ascii="Times New Roman" w:hAnsi="Times New Roman"/>
          <w:sz w:val="20"/>
        </w:rPr>
        <w:t xml:space="preserve">* Correspondence: Xutao Guo, guoxutao@smu.edu.cn</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The registry was not intended to exhaust every ICI trial ever published, but to capture source blocks relevant to the prespecified lymphoma-versus-solid tumor stress test and toxicity phenotype layers.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Endpoint-compatible pooled estimates used random-effects meta-analysis with restricted maximum likelihood (REML) estimation.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We queried the public openFDA drug/event API [38]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No minimum report-count threshold was applied; cells with fewer than 10 reports are flagged as unstable in the output table. We analyzed report-level records returned by the openFDA API as queried. No additional case-version deduplication was performed beyond the API-returned structure.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w:t>
      </w:r>
      <w:r>
        <w:rPr>
          <w:vertAlign w:val="superscript"/>
        </w:rPr>
        <w:t xml:space="preserve">2</w:t>
      </w:r>
      <w:r>
        <w:t xml:space="preserve">=95.2%). Solid-tumor arms had a pooled rate of 31.1% (95% CI 20.2-44.6; prediction interval 4.7-80.5; k=14; events=2237/N=5130; </w:t>
      </w:r>
      <w:r>
        <w:rPr>
          <w:vertAlign w:val="superscript"/>
        </w:rPr>
        <w:t xml:space="preserve">2</w:t>
      </w:r>
      <w:r>
        <w:t xml:space="preserve">=98.7%).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The exact-match openFDA analysis queried 20,328,575 drug/event reports and generated 80 agent-by-reporting-family rows across 10 ICI agents and 8 irAE reporting families. The strongest reporting signals were observed for known agent-event associations including ipilimumab-endocrine (3086 reports; ROR 29.59, 95% CI 28.50–30.73) and pembrolizumab-endocrine (4966 reports; ROR 22.10, 95% CI 21.45–22.77). Several cells with fewer than 100 reports, notably relatlimab-neuromuscular and relatlimab-cardiac, generated high RORs that are flagged as unstable signal indicators rather than stable pharmacovigilance estimates.</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These results do not estimate lymphoma-versus-solid causality. Their value is different: they show that toxicity phenotypes are molecularly measurable when patient-level toxicity labels and molecular profiles are linked.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Figure 1. ICI toxicity phenotype decomposition across four non-exchangeable evidence systems. Dashed separators indicate that the four layers answer different questions. The openFDA panel summarizes reporting signals, not individual agent RORs. Values are script-generated from locked supplementary files.</w:t>
      </w:r>
      <w:r/>
      <w:r/>
    </w:p>
    <w:p>
      <w:pPr>
        <w:pStyle w:val="BodyText"/>
      </w:pPr>
      <w:r>
        <w:rPr>
          <w:b/>
          <w:bCs/>
        </w:rPr>
        <w:t xml:space="preserve">Figure 2. Phenotype-specific clinical estimates.</w:t>
      </w:r>
      <w:r>
        <w:t xml:space="preserve"> </w:t>
      </w:r>
      <w:r>
        <w:t>Broad high-grade treatment-related adverse event pooled estimates are shown by tumor lineage and chemotherapy context.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Figure 4. openFDA exact-match reporting-signal heatmap (80 agent-by-irAE-family cells, 10 ICI agents, 8 families). Cell numbers: report counts. Color: log2 reporting odds ratio. Low-count, high-ROR cells (&lt;100 reports) are exploratory signal flags. These spontaneous-reporting signals must not be interpreted as incidence, risk, or adjudicated irAE rates.</w:t>
      </w:r>
      <w:r/>
      <w:r/>
    </w:p>
    <w:p>
      <w:pPr>
        <w:pStyle w:val="BodyText"/>
      </w:pPr>
      <w:r>
        <w:rPr>
          <w:b/>
          <w:bCs/>
        </w:rPr>
        <w:t xml:space="preserve">Figure 5. External melanoma PBMC severe-irAE molecular support.</w:t>
      </w:r>
      <w:r>
        <w:t xml:space="preserve"> </w:t>
      </w:r>
      <w:r>
        <w:t>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Therapy-adjusted models (inset or annotation) identified no FDR-significant signatures. This layer provides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package (v3.10): https://github.com/xutaoguo55/ici-irae-phenotype-decomposition-esmo-open-v3-10/releases/tag/v3.10 Repository DOI is now 10.5281/zenodo.20989857 (https://doi.org/10.5281/zenodo.20989857).</w:t>
      </w:r>
    </w:p>
    <w:bookmarkEnd w:id="31"/>
    <w:bookmarkStart w:id="32" w:name="ethics-and-reporting"/>
    <w:p>
      <w:pPr>
        <w:pStyle w:val="Heading2"/>
      </w:pPr>
      <w:r>
        <w:t xml:space="preserve">Ethics and Reporting</w:t>
      </w:r>
    </w:p>
    <w:p>
      <w:pPr>
        <w:pStyle w:val="FirstParagraph"/>
      </w:pPr>
      <w:r>
        <w:t>This study used published aggregate source information and public de-identified transcriptomic data. No new patient recruitment, intervention or access to identifiable individual data was performed. The institutional review board of Nanfang Hospital, Southern Medical University, confirmed exemption for this secondary analysis of publicly available, de-identified data (exemption confirmation; identifier not required under local policy for secondary analyses of public data).</w:t>
      </w:r>
    </w:p>
    <w:p>
      <w:pPr>
        <w:pStyle w:val="Normal"/>
      </w:pPr>
      <w:r>
        <w:t xml:space="preserve"/>
      </w:r>
    </w:p>
    <w:p>
      <w:pPr>
        <w:pStyle w:val="Heading2"/>
      </w:pPr>
      <w:r>
        <w:t xml:space="preserve">Competing Interests</w:t>
      </w:r>
    </w:p>
    <w:p>
      <w:pPr>
        <w:pStyle w:val="First Paragraph"/>
      </w:pPr>
      <w:r>
        <w:t xml:space="preserve">The authors declare no competing interests related to this work. X.G. has received honoraria for educational lectures unrelated to this study. The remaining authors declare no conflicts of interest.</w:t>
      </w:r>
    </w:p>
    <w:p>
      <w:pPr>
        <w:pStyle w:val="Normal"/>
      </w:pPr>
      <w:r>
        <w:t xml:space="preserve"/>
      </w:r>
    </w:p>
    <w:p>
      <w:pPr>
        <w:pStyle w:val="Heading2"/>
      </w:pPr>
      <w:r>
        <w:t xml:space="preserve">Funding</w:t>
      </w:r>
    </w:p>
    <w:p>
      <w:pPr>
        <w:pStyle w:val="First Paragraph"/>
      </w:pPr>
      <w:r>
        <w:t>This study was supported by institutional support from the Clinical Medical Research Center of Hematological Diseases of Guangdong Province (no specific grant number). The funder had no role in study design, data collection, analysis, interpretation, or the decision to submit for publication.</w:t>
      </w:r>
    </w:p>
    <w:p>
      <w:pPr>
        <w:pStyle w:val="Normal"/>
      </w:pPr>
      <w:r>
        <w:t xml:space="preserve"/>
      </w:r>
    </w:p>
    <w:p>
      <w:pPr>
        <w:pStyle w:val="Heading2"/>
      </w:pPr>
      <w:r>
        <w:t xml:space="preserve">Author Contributions</w:t>
      </w:r>
    </w:p>
    <w:p>
      <w:pPr>
        <w:pStyle w:val="First Paragraph"/>
      </w:pPr>
      <w:r>
        <w:t xml:space="preserve">Conceptualization: X.G., J.H.; Methodology: X.G., J.H., X.W.; Data curation and formal analysis: J.H., X.W., H.Z.; Investigation: J.H., X.W., H.Z., Q.W., Y.W., R.F.; Writing—original draft: J.H., X.G.; Writing—review &amp; editing: all authors; Supervision: X.G.; Guarantor: X.G. All authors approved the final manuscript and agree to be accountable for all aspects of the work.</w:t>
      </w:r>
    </w:p>
    <w:p>
      <w:pPr>
        <w:pStyle w:val="Normal"/>
      </w:pPr>
      <w:r>
        <w:t xml:space="preserve"/>
      </w:r>
    </w:p>
    <w:p>
      <w:pPr>
        <w:pStyle w:val="Heading2"/>
      </w:pPr>
      <w:r>
        <w:t xml:space="preserve">Word Count</w:t>
      </w:r>
    </w:p>
    <w:p>
      <w:pPr>
        <w:pStyle w:val="First Paragraph"/>
      </w:pPr>
      <w:r>
        <w:t xml:space="preserve">Abstract: 255 words. Main text (excluding abstract, figure legends, data availability, ethics, competing interests, funding, author contributions, and references): approximately 3,500 words.</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Park SH, Chang YH, Lee JL, Choueiri TK, Kimura G, Chung J, et al. Adjuvant Pembrolizumab Versus Placebo for Renal Cell Carcinoma in the East Asian Subgroup of the Phase 3 KEYNOTE-564 Study. Cancer Research and Treatment. 2026;58(2):613-621. Epub 2025 Jun 26.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U.S. Food and Drug Administration. openFDA Drug Event API. Available at: https://open.fda.gov/apis/drug/event/. Accessed 28 June 2026.</w:t>
      </w:r>
    </w:p>
    <w:bookmarkEnd w:id="33"/>
    <w:bookmarkEnd w:id="34"/>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