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a9f1651da60bedf549dad7a2794549713f09cc"/>
    <w:p>
      <w:pPr>
        <w:pStyle w:val="Heading1"/>
      </w:pPr>
      <w:r>
        <w:t xml:space="preserve">ESMO Open Core Supplementary / Repository Index v3.10</w:t>
      </w:r>
    </w:p>
    <w:p>
      <w:pPr>
        <w:pStyle w:val="FirstParagraph"/>
      </w:pPr>
      <w:r>
        <w:t xml:space="preserve">This index lists the journal-facing core files for the v3.10 hardened package. It intentionally excludes internal development drafts and QC clutter.</w:t>
      </w:r>
    </w:p>
    <w:bookmarkStart w:id="9" w:name="manuscript-and-cover"/>
    <w:p>
      <w:pPr>
        <w:pStyle w:val="Heading2"/>
      </w:pPr>
      <w:r>
        <w:t xml:space="preserve">Manuscript and Cover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ICI_IRAE_TOXICITY_PHENOTYPE_DECOMPOSITION_V3_10_ESMO_OPEN_HARDENED.docx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ESMO_OPEN_COVER_LETTER_RATIONALE_V3_10.docx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ESMO_OPEN_SUPPLEMENTARY_INDEX_CORE_V3_10.docx</w:t>
      </w:r>
    </w:p>
    <w:bookmarkEnd w:id="9"/>
    <w:bookmarkStart w:id="10" w:name="core-figures"/>
    <w:p>
      <w:pPr>
        <w:pStyle w:val="Heading2"/>
      </w:pPr>
      <w:r>
        <w:t xml:space="preserve">Core Figures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Figure_1_four_system_toxicity_decomposition_v3_10.pdf/png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Figure_2_phenotype_specific_estimates_v3_5.pdf/png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Figure_3_organ_specific_irae_estimability_v3_5.pdf/png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Figure_4_openfda_reporting_signal_heatmap_v3_10.pdf/png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Figure_5_patient_level_irAE_support_v3_10.pdf/png</w:t>
      </w:r>
    </w:p>
    <w:bookmarkEnd w:id="10"/>
    <w:bookmarkStart w:id="11" w:name="core-data-tables"/>
    <w:p>
      <w:pPr>
        <w:pStyle w:val="Heading2"/>
      </w:pPr>
      <w:r>
        <w:t xml:space="preserve">Core Data Tables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evidence_source_registry_v1_3.csv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clinical_endpoint_pooled_estimates_v2_0.csv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organ_specific_irae_endpoint_compatibility_audit_v2_1.csv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openfda_ici_irae_reporting_signal_v3_7.csv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GSE186144_lozano_irAE_signature_association_v3_5.csv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GSE186144_lozano_therapy_adjusted_signature_models_v3_5.csv</w:t>
      </w:r>
    </w:p>
    <w:bookmarkEnd w:id="11"/>
    <w:bookmarkStart w:id="12" w:name="external-source-notes"/>
    <w:p>
      <w:pPr>
        <w:pStyle w:val="Heading2"/>
      </w:pPr>
      <w:r>
        <w:t xml:space="preserve">External Source Notes</w:t>
      </w:r>
    </w:p>
    <w:p>
      <w:pPr>
        <w:pStyle w:val="FirstParagraph"/>
      </w:pPr>
      <w:r>
        <w:t xml:space="preserve">The openFDA analysis used exact matching against the public FDA Drug Event API: https://open.fda.gov/apis/drug/event/</w:t>
      </w:r>
    </w:p>
    <w:p>
      <w:pPr>
        <w:pStyle w:val="BodyText"/>
      </w:pPr>
      <w:r>
        <w:t xml:space="preserve">Public repository URL: https://github.com/xutaoguo55/ici-irae-phenotype-decomposition-esmo-open-v3-10</w:t>
      </w:r>
      <w:r>
        <w:t xml:space="preserve"> </w:t>
      </w:r>
      <w:r>
        <w:t xml:space="preserve">DOI: pending (not assigned yet).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2026-06-28T04:37:21Z</dcterms:created>
  <dcterms:modified xsi:type="dcterms:W3CDTF">2026-06-28T04:37:21Z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