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The registry was not intended to exhaust every ICI trial ever published, but to capture source blocks relevant to the prespecified lymphoma-versus-solid tumor stress test and toxicity phenotype layers.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Endpoint-compatible pooled estimates used random-effects meta-analysis with restricted maximum likelihood (REML) estimation.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No minimum report-count threshold was applied; cells with fewer than 10 reports are flagged as unstable in the output table. We analyzed report-level records returned by the openFDA API as queried. No additional case-version deduplication was performed beyond the API-returned structure.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The exact-match openFDA analysis queried 20,328,575 drug/event reports and generated 80 agent-by-reporting-family rows across 10 ICI agents and 8 irAE reporting families. The strongest reporting signals were observed for known agent-event associations including ipilimumab-endocrine (3086 reports; ROR 29.59, 95% CI 28.50–30.73) and pembrolizumab-endocrine (4966 reports; ROR 22.10, 95% CI 21.45–22.77). Several cells with fewer than 100 reports, notably relatlimab-neuromuscular and relatlimab-cardiac, generated high RORs that are flagged as unstable signal indicators rather than stable pharmacovigilance estimates.</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These results do not estimate lymphoma-versus-solid causality. Their value is different: they show that toxicity phenotypes are molecularly measurable when patient-level toxicity labels and molecular profiles are linked.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Figure 1. ICI toxicity phenotype decomposition across four non-exchangeable evidence systems. Dashed separators indicate that the four layers answer different questions. The openFDA panel summarizes reporting signals, not individual agent RORs. Values are script-generated from locked supplementary files.</w:t>
      </w:r>
      <w:r/>
      <w:r/>
    </w:p>
    <w:p>
      <w:pPr>
        <w:pStyle w:val="BodyText"/>
      </w:pPr>
      <w:r>
        <w:rPr>
          <w:b/>
          <w:bCs/>
        </w:rPr>
        <w:t xml:space="preserve">Figure 2. Phenotype-specific clinical estimates.</w:t>
      </w:r>
      <w:r>
        <w:t xml:space="preserve"> </w:t>
      </w:r>
      <w:r>
        <w:t>Broad high-grade treatment-related adverse event pooled estimates are shown by tumor lineage and chemotherapy context.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Figure 4. openFDA exact-match reporting-signal heatmap (80 agent-by-irAE-family cells, 10 ICI agents, 8 families). Cell numbers: report counts. Color: log2 reporting odds ratio. Low-count, high-ROR cells (&lt;100 reports) are exploratory signal flags. These spontaneous-reporting signals must not be interpreted as incidence, risk, or adjudicated irAE rates.</w:t>
      </w:r>
      <w:r/>
      <w:r/>
    </w:p>
    <w:p>
      <w:pPr>
        <w:pStyle w:val="BodyText"/>
      </w:pPr>
      <w:r>
        <w:rPr>
          <w:b/>
          <w:bCs/>
        </w:rPr>
        <w:t xml:space="preserve">Figure 5. External melanoma PBMC severe-irAE molecular support.</w:t>
      </w:r>
      <w:r>
        <w:t xml:space="preserve"> </w:t>
      </w:r>
      <w:r>
        <w:t>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Therapy-adjusted models (inset or annotation) identified no FDR-significant signatures. This layer provides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w:t>
      </w:r>
    </w:p>
    <w:bookmarkEnd w:id="31"/>
    <w:bookmarkStart w:id="32" w:name="ethics-and-reporting"/>
    <w:p>
      <w:pPr>
        <w:pStyle w:val="Heading2"/>
      </w:pPr>
      <w:r>
        <w:t xml:space="preserve">Ethics and Reporting</w:t>
      </w:r>
    </w:p>
    <w:p>
      <w:pPr>
        <w:pStyle w:val="FirstParagraph"/>
      </w:pPr>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of publicly available, de-identified data (exemption confirmation; identifier not required under local policy for secondary analyses of public data).</w:t>
      </w:r>
    </w:p>
    <w:p>
      <w:pPr>
        <w:pStyle w:val="Normal"/>
      </w:pPr>
      <w:r>
        <w:t xml:space="preserve"/>
      </w:r>
    </w:p>
    <w:p>
      <w:pPr>
        <w:pStyle w:val="Heading2"/>
      </w:pPr>
      <w:r>
        <w:t xml:space="preserve">Competing Interests</w:t>
      </w:r>
    </w:p>
    <w:p>
      <w:pPr>
        <w:pStyle w:val="First Paragraph"/>
      </w:pPr>
      <w:r>
        <w:t xml:space="preserve">The authors declare no competing interests related to this work. X.G. has received honoraria for educational lectures unrelated to this study. The remaining authors declare no conflicts of interest.</w:t>
      </w:r>
    </w:p>
    <w:p>
      <w:pPr>
        <w:pStyle w:val="Normal"/>
      </w:pPr>
      <w:r>
        <w:t xml:space="preserve"/>
      </w:r>
    </w:p>
    <w:p>
      <w:pPr>
        <w:pStyle w:val="Heading2"/>
      </w:pPr>
      <w:r>
        <w:t xml:space="preserve">Funding</w:t>
      </w:r>
    </w:p>
    <w:p>
      <w:pPr>
        <w:pStyle w:val="First Paragraph"/>
      </w:pPr>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Normal"/>
      </w:pPr>
      <w:r>
        <w:t xml:space="preserve"/>
      </w:r>
    </w:p>
    <w:p>
      <w:pPr>
        <w:pStyle w:val="Heading2"/>
      </w:pPr>
      <w:r>
        <w:t xml:space="preserve">Author Contributions</w:t>
      </w:r>
    </w:p>
    <w:p>
      <w:pPr>
        <w:pStyle w:val="First Paragraph"/>
      </w:pPr>
      <w:r>
        <w:t xml:space="preserve">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Normal"/>
      </w:pPr>
      <w:r>
        <w:t xml:space="preserve"/>
      </w:r>
    </w:p>
    <w:p>
      <w:pPr>
        <w:pStyle w:val="Heading2"/>
      </w:pPr>
      <w:r>
        <w:t xml:space="preserve">Word Count</w:t>
      </w:r>
    </w:p>
    <w:p>
      <w:pPr>
        <w:pStyle w:val="First Paragraph"/>
      </w:pPr>
      <w:r>
        <w:t xml:space="preserve">Abstract: 255 words. Main text (excluding abstract, figure legends, data availability, ethics, competing interests, funding, author contributions, and references): approximately 3,500 words.</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