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 xml:space="preserve">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 xml:space="preserve">Locked random-effects outputs were used for endpoint-compatible pooled estimates.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 xml:space="preserve">We queried the public openFDA drug/event API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 xml:space="preserve">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I2=95.2%). Solid-tumor arms had a pooled rate of 31.1% (95% CI 20.2-44.6; prediction interval 4.7-80.5; k=14; events=2237/N=5130; I2=98.7%).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 xml:space="preserve">The exact-match openFDA analysis queried 20,328,575 drug/event reports and generated 80 agent-by-reporting-family rows across 10 ICI agents and 8 irAE reporting families. The strongest RORs were observed for relatlimab-neuromuscular (23 reports; ROR 38.44, 95% CI 25.45-58.05), relatlimab-cardiac (29 reports; ROR 37.64, 95% CI 26.00-54.48), ipilimumab-endocrine (3086 reports; ROR 29.59, 95% CI 28.50-30.73), cemiplimab-neuromuscular (72 reports; ROR 23.67, 95% CI 18.75-29.89), and pembrolizumab-endocrine (4966 reports; ROR 22.10, 95% CI 21.45-22.77).</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 xml:space="preserve">These results do not estimate lymphoma-versus-solid causality. Their value is different: they show that toxicity phenotypes are biologically measurable when patient-level labels exist.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 xml:space="preserve">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The dashed separators indicate that the evidence systems are not exchangeable. The figure is conceptual and interpretive; it does not imply causal progression between evidence layers.</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 xml:space="preserve">Reporting odds ratios are shown for ICI agent-by-irAE reporting-family cells using exact drug and reaction fields from the FDA openFDA drug/event API. Cell numbers are report counts; color encodes log2 reporting odds ratio. High RORs with small report counts should be interpreted cautiously. These are spontaneous-reporting signals and should not be interpreted as incidence, exposed-patient risk, tumor-lineage risk or adjudicated irAE rates.</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 xml:space="preserve">The aggregate source registry, endpoint-compatible pooled estimates, organ-specific irAE compatibility audit, toxicity phenotype interpretation standard, openFDA reporting-signal outputs, patient-level molecular-support outputs and figure source data are included in the locked reproducibility package prepared for public deposition. The openFDA layer used the public FDA drug/event API. The patient-level molecular support layer used public GEO resources GSE186144/GSE186143. No public repository DOI is claimed in this draft; direct portal upload should be deferred until the submitting authors deposit the locked package in a public repository or revise this statement to match a completed data-access route.</w:t>
      </w:r>
    </w:p>
    <w:bookmarkEnd w:id="31"/>
    <w:bookmarkStart w:id="32" w:name="ethics-and-reporting"/>
    <w:p>
      <w:pPr>
        <w:pStyle w:val="Heading2"/>
      </w:pPr>
      <w:r>
        <w:t xml:space="preserve">Ethics and Reporting</w:t>
      </w:r>
    </w:p>
    <w:p>
      <w:pPr>
        <w:pStyle w:val="FirstParagraph"/>
      </w:pPr>
      <w:r>
        <w:t xml:space="preserve">This study used published aggregate source information and public de-identified transcriptomic data. No new patient recruitment, intervention or access to identifiable individual data was performed for this secondary analysis. Final institutional review or exemption wording should be confirmed by the submitting authors according to local policy before journal upload.</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