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a9f1651da60bedf549dad7a2794549713f09cc"/>
    <w:p>
      <w:pPr>
        <w:pStyle w:val="Heading1"/>
      </w:pPr>
      <w:r>
        <w:t xml:space="preserve">ESMO Open Core Supplementary / Repository Index v3.10</w:t>
      </w:r>
    </w:p>
    <w:p>
      <w:pPr>
        <w:pStyle w:val="FirstParagraph"/>
      </w:pPr>
      <w:r>
        <w:t xml:space="preserve">This index lists the journal-facing core files for the v3.10 hardened package. It intentionally excludes internal development drafts and QC clutter.</w:t>
      </w:r>
    </w:p>
    <w:bookmarkStart w:id="9" w:name="manuscript-and-cover"/>
    <w:p>
      <w:pPr>
        <w:pStyle w:val="Heading2"/>
      </w:pPr>
      <w:r>
        <w:t xml:space="preserve">Manuscript and Cover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ICI_IRAE_TOXICITY_PHENOTYPE_DECOMPOSITION_V3_10_ESMO_OPEN_HARDENED.docx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ESMO_OPEN_COVER_LETTER_RATIONALE_V3_10.docx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ESMO_OPEN_SUPPLEMENTARY_INDEX_CORE_V3_10.docx</w:t>
      </w:r>
    </w:p>
    <w:bookmarkEnd w:id="9"/>
    <w:bookmarkStart w:id="10" w:name="core-figures"/>
    <w:p>
      <w:pPr>
        <w:pStyle w:val="Heading2"/>
      </w:pPr>
      <w:r>
        <w:t xml:space="preserve">Core Figures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Figure_1_four_system_toxicity_decomposition_v3_10.pdf/png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Figure_2_phenotype_specific_estimates_v3_5.pdf/png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Figure_3_organ_specific_irae_estimability_v3_5.pdf/png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Figure_4_openfda_reporting_signal_heatmap_v3_10.pdf/png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Figure_5_patient_level_irAE_support_v3_10.pdf/png</w:t>
      </w:r>
    </w:p>
    <w:bookmarkEnd w:id="10"/>
    <w:bookmarkStart w:id="11" w:name="core-data-tables"/>
    <w:p>
      <w:pPr>
        <w:pStyle w:val="Heading2"/>
      </w:pPr>
      <w:r>
        <w:t xml:space="preserve">Core Data Tables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evidence_source_registry_v1_3.csv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clinical_endpoint_pooled_estimates_v2_0.csv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organ_specific_irae_endpoint_compatibility_audit_v2_1.csv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openfda_ici_irae_reporting_signal_v3_7.csv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GSE186144_lozano_irAE_signature_association_v3_5.csv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GSE186144_lozano_therapy_adjusted_signature_models_v3_5.csv</w:t>
      </w:r>
    </w:p>
    <w:bookmarkEnd w:id="11"/>
    <w:bookmarkStart w:id="12" w:name="external-source-notes"/>
    <w:p>
      <w:pPr>
        <w:pStyle w:val="Heading2"/>
      </w:pPr>
      <w:r>
        <w:t xml:space="preserve">External Source Notes</w:t>
      </w:r>
    </w:p>
    <w:p>
      <w:pPr>
        <w:pStyle w:val="FirstParagraph"/>
      </w:pPr>
      <w:r>
        <w:t xml:space="preserve">The openFDA analysis used exact matching against the public FDA Drug Event API: https://open.fda.gov/apis/drug/event/</w:t>
      </w:r>
    </w:p>
    <w:p>
      <w:pPr>
        <w:pStyle w:val="BodyText"/>
      </w:pPr>
      <w:r>
        <w:t>Public repository URL (repository root): https://github.com/xutaoguo55/ici-irae-phenotype-decomposition-esmo-open-v3-10 Submission-facing package (v3.10): https://github.com/xutaoguo55/ici-irae-phenotype-decomposition-esmo-open-v3-10/releases/tag/v3.10 DOI: 10.5281/zenodo.20989857 (https://doi.org/10.5281/zenodo.20989857). (https://doi.org/10.5281/zenodo.20989857). (https://doi.org/10.5281/zenodo.20989857). (https://doi.org/10.5281/zenodo.20989857). (https://doi.org/10.5281/zenodo.20989857).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