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ESMO Open Cover Letter</w:t>
      </w:r>
    </w:p>
    <w:p>
      <w:r>
        <w:t>Dear Editors,</w:t>
      </w:r>
    </w:p>
    <w:p/>
    <w:p>
      <w:r>
        <w:t>Authors: Junwei Huang†¹, Xiaolei Wei†¹, Haiqing Zheng†², Qi Wei¹, Yongqiang Wei¹, Ru Feng¹, Xutao Guo*¹,³</w:t>
      </w:r>
    </w:p>
    <w:p>
      <w:r>
        <w:t>¹²³ Nanfang Hospital, Southern Medical University, Guangzhou, China · † Equal contribution · * guoxutao@smu.edu.cn</w:t>
      </w:r>
    </w:p>
    <w:p/>
    <w:p>
      <w:r>
        <w:t>We submit "Four Evidence Systems, Four Different Answers: Why Cross-Tumor ICI Toxicity Comparisons Fail."</w:t>
      </w:r>
    </w:p>
    <w:p>
      <w:r>
        <w:t>This manuscript identifies and solves a problem the field has overlooked. Every day, clinical decisions, meta-analyses, and regulatory submissions compare ICI toxicity across tumor types without verifying that the measurements are comparable. Using lymphoma versus solid tumors as a stress test, we audit four evidence systems: (1) an aggregate source registry of 384 endpoint-labelled rows across 36 source blocks; (2) a strict organ-specific irAE estimability audit across 23 organ-by-grade strata—with 18 of 23 unsuitable for lineage-wide pooling; (3) an exact-match openFDA pharmacovigilance analysis across 10 ICI agents and 8 irAE families; and (4) an external melanoma PBMC molecular-support cohort (60 samples, 11 signatures). None of these four systems supports reliable cross-tumor inference with currently available public data.</w:t>
      </w:r>
    </w:p>
    <w:p>
      <w:r>
        <w:t>The manuscript provides a phenotype interpretation standard (Box 1)—a concise table defining, for each evidence system, what you can and cannot say in cross-tumor contexts. It includes Key Points for rapid clinical uptake. It is not a meta-analysis, does not claim lineage causality, and does not interpret openFDA RORs as clinical incidence. Its contribution is to make the problem of endpoint heterogeneity visible, measurable, and actionable.</w:t>
      </w:r>
    </w:p>
    <w:p>
      <w:r>
        <w:t>We believe this article fills a genuine gap in the ESMO Open readership. If published, it will provide an immediately usable framework for evaluating the hundreds of cross-tumor toxicity comparisons published and presented each year.</w:t>
      </w:r>
    </w:p>
    <w:p>
      <w:r>
        <w:t>Why now: Cross-tumor ICI comparisons are accelerating with the expansion of ICI indications. Without a verification standard, the literature will accumulate increasingly uninterpretable comparisons. This manuscript provides that standard.</w:t>
      </w:r>
    </w:p>
    <w:p>
      <w:r>
        <w:t>Repository: https://github.com/xutaoguo55/ici-irae-phenotype-decomposition-esmo-open-v3-10 (v3.10) · DOI: 10.5281/zenodo.20989857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